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89" w:rsidRPr="005D69CC" w:rsidRDefault="009320E3" w:rsidP="00891889">
      <w:pPr>
        <w:spacing w:after="0" w:line="240" w:lineRule="auto"/>
        <w:ind w:right="6"/>
        <w:jc w:val="center"/>
        <w:rPr>
          <w:noProof/>
          <w:lang w:eastAsia="pl-PL"/>
        </w:rPr>
      </w:pPr>
      <w:r>
        <w:rPr>
          <w:noProof/>
          <w:lang w:eastAsia="pl-PL"/>
        </w:rPr>
        <w:drawing>
          <wp:inline distT="0" distB="0" distL="0" distR="0">
            <wp:extent cx="5443855" cy="795655"/>
            <wp:effectExtent l="19050" t="0" r="4445" b="0"/>
            <wp:docPr id="1" name="Obraz 6"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FS achromatyczny poziom"/>
                    <pic:cNvPicPr>
                      <a:picLocks noChangeAspect="1" noChangeArrowheads="1"/>
                    </pic:cNvPicPr>
                  </pic:nvPicPr>
                  <pic:blipFill>
                    <a:blip r:embed="rId8" cstate="print"/>
                    <a:srcRect/>
                    <a:stretch>
                      <a:fillRect/>
                    </a:stretch>
                  </pic:blipFill>
                  <pic:spPr bwMode="auto">
                    <a:xfrm>
                      <a:off x="0" y="0"/>
                      <a:ext cx="5443855" cy="795655"/>
                    </a:xfrm>
                    <a:prstGeom prst="rect">
                      <a:avLst/>
                    </a:prstGeom>
                    <a:noFill/>
                    <a:ln w="9525">
                      <a:noFill/>
                      <a:miter lim="800000"/>
                      <a:headEnd/>
                      <a:tailEnd/>
                    </a:ln>
                  </pic:spPr>
                </pic:pic>
              </a:graphicData>
            </a:graphic>
          </wp:inline>
        </w:drawing>
      </w:r>
    </w:p>
    <w:p w:rsidR="00260C49" w:rsidRPr="005D69CC" w:rsidRDefault="00260C49" w:rsidP="005C0788">
      <w:pPr>
        <w:spacing w:after="0" w:line="240" w:lineRule="auto"/>
        <w:ind w:left="-284" w:right="6"/>
        <w:jc w:val="right"/>
        <w:rPr>
          <w:color w:val="000000"/>
          <w:lang w:eastAsia="pl-PL"/>
        </w:rPr>
      </w:pPr>
      <w:r w:rsidRPr="005D69CC">
        <w:rPr>
          <w:color w:val="000000"/>
          <w:lang w:eastAsia="pl-PL"/>
        </w:rPr>
        <w:t xml:space="preserve">Załącznik nr </w:t>
      </w:r>
      <w:r w:rsidR="003D7CCA">
        <w:rPr>
          <w:color w:val="000000"/>
          <w:lang w:eastAsia="pl-PL"/>
        </w:rPr>
        <w:t xml:space="preserve">4 </w:t>
      </w:r>
      <w:r w:rsidR="00C74925" w:rsidRPr="005D69CC">
        <w:rPr>
          <w:color w:val="000000"/>
          <w:lang w:eastAsia="pl-PL"/>
        </w:rPr>
        <w:t xml:space="preserve">do Regulaminu </w:t>
      </w:r>
      <w:r w:rsidR="003319DB" w:rsidRPr="003319DB">
        <w:rPr>
          <w:color w:val="000000"/>
          <w:lang w:eastAsia="pl-PL"/>
        </w:rPr>
        <w:t>naboru do projektu</w:t>
      </w:r>
    </w:p>
    <w:p w:rsidR="00A97EA9" w:rsidRPr="005D69CC" w:rsidRDefault="00A97EA9" w:rsidP="00A97EA9">
      <w:pPr>
        <w:spacing w:after="0" w:line="240" w:lineRule="auto"/>
        <w:rPr>
          <w:color w:val="000000"/>
          <w:lang w:eastAsia="pl-PL"/>
        </w:rPr>
      </w:pPr>
    </w:p>
    <w:p w:rsidR="00C74925" w:rsidRPr="005A07F6" w:rsidRDefault="00FC353D" w:rsidP="000A5344">
      <w:pPr>
        <w:spacing w:after="0" w:line="240" w:lineRule="auto"/>
        <w:jc w:val="center"/>
        <w:rPr>
          <w:b/>
          <w:sz w:val="36"/>
          <w:szCs w:val="36"/>
        </w:rPr>
      </w:pPr>
      <w:r w:rsidRPr="005A07F6">
        <w:rPr>
          <w:b/>
          <w:sz w:val="36"/>
          <w:szCs w:val="36"/>
        </w:rPr>
        <w:t xml:space="preserve">Instrukcja </w:t>
      </w:r>
      <w:r w:rsidR="003D7CCA" w:rsidRPr="005A07F6">
        <w:rPr>
          <w:b/>
          <w:sz w:val="36"/>
          <w:szCs w:val="36"/>
        </w:rPr>
        <w:t>pomagająca w określeniu</w:t>
      </w:r>
      <w:r w:rsidRPr="005A07F6">
        <w:rPr>
          <w:b/>
          <w:sz w:val="36"/>
          <w:szCs w:val="36"/>
        </w:rPr>
        <w:t xml:space="preserve"> </w:t>
      </w:r>
      <w:r w:rsidR="002C303D" w:rsidRPr="005A07F6">
        <w:rPr>
          <w:b/>
          <w:sz w:val="36"/>
          <w:szCs w:val="36"/>
        </w:rPr>
        <w:t>statusu MŚP przedsiębiorcy w </w:t>
      </w:r>
      <w:r w:rsidR="003618F3" w:rsidRPr="005A07F6">
        <w:rPr>
          <w:b/>
          <w:sz w:val="36"/>
          <w:szCs w:val="36"/>
        </w:rPr>
        <w:t>formularzu zgłoszeniowym</w:t>
      </w:r>
    </w:p>
    <w:p w:rsidR="008A6A8F" w:rsidRDefault="008A6A8F" w:rsidP="00F260EA">
      <w:pPr>
        <w:spacing w:after="0" w:line="240" w:lineRule="auto"/>
        <w:jc w:val="both"/>
        <w:rPr>
          <w:bCs/>
          <w:smallCaps/>
          <w:sz w:val="24"/>
          <w:szCs w:val="24"/>
        </w:rPr>
      </w:pPr>
    </w:p>
    <w:p w:rsidR="002C303D" w:rsidRPr="00AA3AE1" w:rsidRDefault="002C303D" w:rsidP="002A3304">
      <w:pPr>
        <w:pStyle w:val="Tekst"/>
        <w:spacing w:before="120" w:after="120"/>
        <w:rPr>
          <w:rFonts w:cs="Calibri"/>
          <w:color w:val="auto"/>
          <w:sz w:val="22"/>
          <w:szCs w:val="22"/>
        </w:rPr>
      </w:pPr>
      <w:r w:rsidRPr="00AA3AE1">
        <w:rPr>
          <w:rFonts w:cs="Calibri"/>
          <w:color w:val="auto"/>
          <w:sz w:val="22"/>
          <w:szCs w:val="22"/>
        </w:rPr>
        <w:t>Podstawowym celem określenia statusu MŚP jest potwierdzenie możliwości uzyskania dofinansowania przez przedsiębiorcę oraz ustalenie wysokości tego dofinansowania.</w:t>
      </w:r>
    </w:p>
    <w:p w:rsidR="002C303D" w:rsidRPr="00AA3AE1" w:rsidRDefault="002C303D" w:rsidP="00742A13">
      <w:pPr>
        <w:pStyle w:val="Tekst"/>
        <w:spacing w:before="120" w:after="120"/>
        <w:rPr>
          <w:rFonts w:cs="Calibri"/>
          <w:color w:val="auto"/>
          <w:sz w:val="22"/>
          <w:szCs w:val="22"/>
        </w:rPr>
      </w:pPr>
      <w:r w:rsidRPr="00AA3AE1">
        <w:rPr>
          <w:rFonts w:cs="Calibri"/>
          <w:color w:val="auto"/>
          <w:sz w:val="22"/>
          <w:szCs w:val="22"/>
        </w:rPr>
        <w:t>Wnioskodawca powinien określić swój status: czy jest mikroprzedsiębiorstwem, małym przedsiębiorstwem c</w:t>
      </w:r>
      <w:r w:rsidR="000A3488">
        <w:rPr>
          <w:rFonts w:cs="Calibri"/>
          <w:color w:val="auto"/>
          <w:sz w:val="22"/>
          <w:szCs w:val="22"/>
        </w:rPr>
        <w:t>zy średnim przedsiębiorstwem. W</w:t>
      </w:r>
      <w:r w:rsidR="00742A13">
        <w:rPr>
          <w:rFonts w:cs="Calibri"/>
          <w:color w:val="auto"/>
          <w:sz w:val="22"/>
          <w:szCs w:val="22"/>
        </w:rPr>
        <w:t xml:space="preserve"> </w:t>
      </w:r>
      <w:r w:rsidRPr="00AA3AE1">
        <w:rPr>
          <w:rFonts w:cs="Calibri"/>
          <w:color w:val="auto"/>
          <w:sz w:val="22"/>
          <w:szCs w:val="22"/>
        </w:rPr>
        <w:t>celu określenia wielkości przedsiębiorstwa, nal</w:t>
      </w:r>
      <w:r w:rsidR="00BB6BB7">
        <w:rPr>
          <w:rFonts w:cs="Calibri"/>
          <w:color w:val="auto"/>
          <w:sz w:val="22"/>
          <w:szCs w:val="22"/>
        </w:rPr>
        <w:t>eży stosować przepisy zawarte w </w:t>
      </w:r>
      <w:r w:rsidRPr="00AA3AE1">
        <w:rPr>
          <w:rFonts w:cs="Calibri"/>
          <w:color w:val="auto"/>
          <w:sz w:val="22"/>
          <w:szCs w:val="22"/>
        </w:rPr>
        <w:t xml:space="preserve">Załączniku I do Rozporządzenia Komisji (UE) nr 651/2014 z dnia 17 czerwca 2014 r. </w:t>
      </w:r>
      <w:r w:rsidRPr="00AA3AE1">
        <w:rPr>
          <w:rFonts w:cs="Calibri"/>
          <w:i/>
          <w:color w:val="auto"/>
          <w:sz w:val="22"/>
          <w:szCs w:val="22"/>
        </w:rPr>
        <w:t>uznającego niektóre rodzaje pomocy za zgodne z rynkiem wewnętrznym w zastosowaniu art. 107 i 108 Traktatu</w:t>
      </w:r>
      <w:r w:rsidRPr="00AA3AE1">
        <w:rPr>
          <w:rFonts w:cs="Calibri"/>
          <w:color w:val="auto"/>
          <w:sz w:val="22"/>
          <w:szCs w:val="22"/>
        </w:rPr>
        <w:t xml:space="preserve"> (dalej: „Załącznik I do</w:t>
      </w:r>
      <w:r w:rsidR="000A3488">
        <w:rPr>
          <w:rFonts w:cs="Calibri"/>
          <w:color w:val="auto"/>
          <w:sz w:val="22"/>
          <w:szCs w:val="22"/>
        </w:rPr>
        <w:t xml:space="preserve"> rozporządzenia Komisji (UE) nr</w:t>
      </w:r>
      <w:r w:rsidR="003502EE">
        <w:rPr>
          <w:rFonts w:cs="Calibri"/>
          <w:color w:val="auto"/>
          <w:sz w:val="22"/>
          <w:szCs w:val="22"/>
        </w:rPr>
        <w:t xml:space="preserve"> </w:t>
      </w:r>
      <w:r w:rsidRPr="00AA3AE1">
        <w:rPr>
          <w:rFonts w:cs="Calibri"/>
          <w:color w:val="auto"/>
          <w:sz w:val="22"/>
          <w:szCs w:val="22"/>
        </w:rPr>
        <w:t>651/2014”).</w:t>
      </w:r>
    </w:p>
    <w:p w:rsidR="002A3304" w:rsidRDefault="002C303D" w:rsidP="002A3304">
      <w:pPr>
        <w:pStyle w:val="Tekst"/>
        <w:spacing w:before="120" w:after="120"/>
        <w:rPr>
          <w:rFonts w:cs="Calibri"/>
          <w:color w:val="auto"/>
          <w:sz w:val="22"/>
          <w:szCs w:val="22"/>
        </w:rPr>
      </w:pPr>
      <w:r w:rsidRPr="00AA3AE1">
        <w:rPr>
          <w:rFonts w:cs="Calibri"/>
          <w:color w:val="auto"/>
          <w:sz w:val="22"/>
          <w:szCs w:val="22"/>
        </w:rPr>
        <w:t xml:space="preserve">Przy określaniu statusu MŚP oraz badaniu wpływu powiązań z innymi podmiotami na status MŚP </w:t>
      </w:r>
      <w:r w:rsidR="002A3304">
        <w:rPr>
          <w:rFonts w:cs="Calibri"/>
          <w:color w:val="auto"/>
          <w:sz w:val="22"/>
          <w:szCs w:val="22"/>
        </w:rPr>
        <w:t>można</w:t>
      </w:r>
      <w:r w:rsidRPr="00AA3AE1">
        <w:rPr>
          <w:rFonts w:cs="Calibri"/>
          <w:color w:val="auto"/>
          <w:sz w:val="22"/>
          <w:szCs w:val="22"/>
        </w:rPr>
        <w:t xml:space="preserve"> posłużyć się wyjaśnieniami zawartymi </w:t>
      </w:r>
      <w:r w:rsidR="002A3304">
        <w:rPr>
          <w:rFonts w:cs="Calibri"/>
          <w:color w:val="auto"/>
          <w:sz w:val="22"/>
          <w:szCs w:val="22"/>
        </w:rPr>
        <w:t xml:space="preserve">dokumencie </w:t>
      </w:r>
      <w:r w:rsidRPr="00BB6BB7">
        <w:rPr>
          <w:rFonts w:cs="Calibri"/>
          <w:i/>
          <w:sz w:val="22"/>
          <w:szCs w:val="22"/>
        </w:rPr>
        <w:t>„</w:t>
      </w:r>
      <w:r w:rsidR="00714634" w:rsidRPr="00BB6BB7">
        <w:rPr>
          <w:rFonts w:cs="Calibri"/>
          <w:i/>
          <w:sz w:val="22"/>
          <w:szCs w:val="22"/>
        </w:rPr>
        <w:t>Poradnik dla użytkowników dotyczący definicji MŚP</w:t>
      </w:r>
      <w:r w:rsidRPr="00BB6BB7">
        <w:rPr>
          <w:rFonts w:cs="Calibri"/>
          <w:i/>
          <w:sz w:val="22"/>
          <w:szCs w:val="22"/>
        </w:rPr>
        <w:t>”</w:t>
      </w:r>
      <w:r w:rsidRPr="00BB6BB7">
        <w:rPr>
          <w:rFonts w:cs="Calibri"/>
          <w:color w:val="auto"/>
          <w:sz w:val="22"/>
          <w:szCs w:val="22"/>
        </w:rPr>
        <w:t xml:space="preserve"> dostępnym </w:t>
      </w:r>
      <w:r w:rsidR="002A3304">
        <w:rPr>
          <w:rFonts w:cs="Calibri"/>
          <w:color w:val="auto"/>
          <w:sz w:val="22"/>
          <w:szCs w:val="22"/>
        </w:rPr>
        <w:t xml:space="preserve">na stronie </w:t>
      </w:r>
      <w:hyperlink r:id="rId9" w:history="1">
        <w:r w:rsidR="002A3304" w:rsidRPr="00FA5EA9">
          <w:rPr>
            <w:rStyle w:val="Hipercze"/>
            <w:rFonts w:cs="Calibri"/>
            <w:sz w:val="22"/>
            <w:szCs w:val="22"/>
          </w:rPr>
          <w:t>http://ec.europa.eu/DocsRoom/documents/15582/attachments/1/translations/pl/renditions/pdf</w:t>
        </w:r>
      </w:hyperlink>
      <w:r w:rsidR="002A3304">
        <w:rPr>
          <w:rFonts w:cs="Calibri"/>
          <w:color w:val="auto"/>
          <w:sz w:val="22"/>
          <w:szCs w:val="22"/>
        </w:rPr>
        <w:t>.</w:t>
      </w:r>
    </w:p>
    <w:p w:rsidR="002C303D" w:rsidRPr="00AA3AE1" w:rsidRDefault="002C303D" w:rsidP="002A3304">
      <w:pPr>
        <w:pStyle w:val="Tekst"/>
        <w:spacing w:before="120" w:after="120"/>
        <w:rPr>
          <w:rFonts w:cs="Calibri"/>
          <w:sz w:val="22"/>
          <w:szCs w:val="22"/>
        </w:rPr>
      </w:pPr>
      <w:r w:rsidRPr="00AA3AE1">
        <w:rPr>
          <w:rFonts w:cs="Calibri"/>
          <w:sz w:val="22"/>
          <w:szCs w:val="22"/>
        </w:rPr>
        <w:t xml:space="preserve">Pomocniczo na stronie internetowej pod adresem </w:t>
      </w:r>
      <w:hyperlink r:id="rId10" w:history="1">
        <w:r w:rsidRPr="00AA3AE1">
          <w:rPr>
            <w:rStyle w:val="Hipercze"/>
            <w:rFonts w:cs="Calibri"/>
            <w:sz w:val="22"/>
            <w:szCs w:val="22"/>
          </w:rPr>
          <w:t>http://kwalifikator.een.org.pl/</w:t>
        </w:r>
      </w:hyperlink>
      <w:r w:rsidRPr="00AA3AE1">
        <w:rPr>
          <w:rFonts w:cs="Calibri"/>
          <w:sz w:val="22"/>
          <w:szCs w:val="22"/>
        </w:rPr>
        <w:t xml:space="preserve"> dostępny jest kwalifikator MŚP, który służy do określania wielkości przedsiębiorstwa.</w:t>
      </w:r>
    </w:p>
    <w:p w:rsidR="00FD27D8" w:rsidRPr="00AA3AE1" w:rsidRDefault="002C303D" w:rsidP="002A3304">
      <w:pPr>
        <w:spacing w:before="120" w:after="120" w:line="240" w:lineRule="auto"/>
        <w:jc w:val="both"/>
        <w:rPr>
          <w:lang w:eastAsia="pl-PL"/>
        </w:rPr>
      </w:pPr>
      <w:r w:rsidRPr="00AA3AE1">
        <w:rPr>
          <w:lang w:eastAsia="pl-PL"/>
        </w:rPr>
        <w:t xml:space="preserve">Określenie </w:t>
      </w:r>
      <w:r w:rsidR="00FC353D" w:rsidRPr="00AA3AE1">
        <w:rPr>
          <w:lang w:eastAsia="pl-PL"/>
        </w:rPr>
        <w:t>statusu MŚP przedsiębiorcy decyduje o zakwalifikowaniu go do projektu oraz ma wpływ na prawidłowe wyliczenie wartości przysługującego dofinansowania.</w:t>
      </w:r>
    </w:p>
    <w:p w:rsidR="00AA3AE1" w:rsidRPr="00AA3AE1" w:rsidRDefault="00AA3AE1" w:rsidP="002A3304">
      <w:pPr>
        <w:pStyle w:val="Tekstpodstawowy"/>
        <w:spacing w:before="120"/>
        <w:jc w:val="both"/>
        <w:rPr>
          <w:rFonts w:ascii="Calibri" w:hAnsi="Calibri" w:cs="Calibri"/>
          <w:color w:val="000000"/>
          <w:sz w:val="22"/>
          <w:szCs w:val="22"/>
        </w:rPr>
      </w:pPr>
      <w:r w:rsidRPr="00AA3AE1">
        <w:rPr>
          <w:rFonts w:ascii="Calibri" w:hAnsi="Calibri" w:cs="Calibri"/>
          <w:color w:val="000000"/>
          <w:sz w:val="22"/>
          <w:szCs w:val="22"/>
        </w:rPr>
        <w:t xml:space="preserve">Na kategorię </w:t>
      </w:r>
      <w:r w:rsidRPr="00AA3AE1">
        <w:rPr>
          <w:rFonts w:ascii="Calibri" w:hAnsi="Calibri" w:cs="Calibri"/>
          <w:b/>
          <w:bCs/>
          <w:color w:val="000000"/>
          <w:sz w:val="22"/>
          <w:szCs w:val="22"/>
        </w:rPr>
        <w:t>mikroprzedsiębiorstw</w:t>
      </w:r>
      <w:r w:rsidRPr="00AA3AE1">
        <w:rPr>
          <w:rFonts w:ascii="Calibri" w:hAnsi="Calibri" w:cs="Calibri"/>
          <w:color w:val="000000"/>
          <w:sz w:val="22"/>
          <w:szCs w:val="22"/>
        </w:rPr>
        <w:t xml:space="preserve"> oraz </w:t>
      </w:r>
      <w:r w:rsidRPr="00AA3AE1">
        <w:rPr>
          <w:rFonts w:ascii="Calibri" w:hAnsi="Calibri" w:cs="Calibri"/>
          <w:b/>
          <w:bCs/>
          <w:color w:val="000000"/>
          <w:sz w:val="22"/>
          <w:szCs w:val="22"/>
        </w:rPr>
        <w:t>małych</w:t>
      </w:r>
      <w:r w:rsidRPr="00AA3AE1">
        <w:rPr>
          <w:rFonts w:ascii="Calibri" w:hAnsi="Calibri" w:cs="Calibri"/>
          <w:color w:val="000000"/>
          <w:sz w:val="22"/>
          <w:szCs w:val="22"/>
        </w:rPr>
        <w:t xml:space="preserve"> i </w:t>
      </w:r>
      <w:r w:rsidRPr="00AA3AE1">
        <w:rPr>
          <w:rFonts w:ascii="Calibri" w:hAnsi="Calibri" w:cs="Calibri"/>
          <w:b/>
          <w:bCs/>
          <w:color w:val="000000"/>
          <w:sz w:val="22"/>
          <w:szCs w:val="22"/>
        </w:rPr>
        <w:t>średnich</w:t>
      </w:r>
      <w:r w:rsidRPr="00AA3AE1">
        <w:rPr>
          <w:rFonts w:ascii="Calibri" w:hAnsi="Calibri" w:cs="Calibri"/>
          <w:color w:val="000000"/>
          <w:sz w:val="22"/>
          <w:szCs w:val="22"/>
        </w:rPr>
        <w:t xml:space="preserve"> przedsiębiorstw </w:t>
      </w:r>
      <w:r w:rsidRPr="00AA3AE1">
        <w:rPr>
          <w:rFonts w:ascii="Calibri" w:hAnsi="Calibri" w:cs="Calibri"/>
          <w:b/>
          <w:bCs/>
          <w:color w:val="000000"/>
          <w:sz w:val="22"/>
          <w:szCs w:val="22"/>
        </w:rPr>
        <w:t xml:space="preserve">(MŚP) </w:t>
      </w:r>
      <w:r w:rsidRPr="00AA3AE1">
        <w:rPr>
          <w:rFonts w:ascii="Calibri" w:hAnsi="Calibri" w:cs="Calibri"/>
          <w:color w:val="000000"/>
          <w:sz w:val="22"/>
          <w:szCs w:val="22"/>
        </w:rPr>
        <w:t>składają się przedsiębiorstwa, które zatrudniają mniej niż 250 pracowników i których roczny obrót nie przekracza 50 milionów EUR lub całkowity bilans roczny nie przekracza 43 milionów EUR.</w:t>
      </w:r>
    </w:p>
    <w:p w:rsidR="00AA3AE1" w:rsidRPr="00AA3AE1" w:rsidRDefault="00AA3AE1" w:rsidP="002A3304">
      <w:pPr>
        <w:pStyle w:val="Tekstpodstawowy"/>
        <w:spacing w:before="120"/>
        <w:rPr>
          <w:rFonts w:ascii="Calibri" w:hAnsi="Calibri" w:cs="Calibri"/>
          <w:color w:val="000000"/>
          <w:sz w:val="22"/>
          <w:szCs w:val="22"/>
        </w:rPr>
      </w:pPr>
      <w:r w:rsidRPr="00AA3AE1">
        <w:rPr>
          <w:rFonts w:ascii="Calibri" w:hAnsi="Calibri" w:cs="Calibri"/>
          <w:color w:val="000000"/>
          <w:sz w:val="22"/>
          <w:szCs w:val="22"/>
        </w:rPr>
        <w:t>Limity definiujące wielkość przedsiębiorstwa są przedstawione w tabeli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276"/>
        <w:gridCol w:w="1275"/>
        <w:gridCol w:w="426"/>
        <w:gridCol w:w="425"/>
        <w:gridCol w:w="1462"/>
      </w:tblGrid>
      <w:tr w:rsidR="00AA3AE1" w:rsidRPr="00E33B08">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 xml:space="preserve">Liczba </w:t>
            </w:r>
            <w:r>
              <w:rPr>
                <w:sz w:val="18"/>
                <w:szCs w:val="18"/>
              </w:rPr>
              <w:t>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szCs w:val="18"/>
              </w:rPr>
              <w:t>Roczna suma bilansowa</w:t>
            </w:r>
          </w:p>
        </w:tc>
      </w:tr>
      <w:tr w:rsidR="00AA3AE1" w:rsidRPr="00E33B08">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AA3AE1" w:rsidRPr="00E33B08" w:rsidRDefault="00742A13" w:rsidP="00161C07">
            <w:pPr>
              <w:jc w:val="center"/>
              <w:rPr>
                <w:sz w:val="18"/>
              </w:rPr>
            </w:pPr>
            <w:r w:rsidRPr="00DC15E7">
              <w:rPr>
                <w:sz w:val="18"/>
              </w:rPr>
              <w:t>mikro</w:t>
            </w:r>
          </w:p>
        </w:tc>
        <w:tc>
          <w:tcPr>
            <w:tcW w:w="1276" w:type="dxa"/>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&lt; 10</w:t>
            </w:r>
          </w:p>
        </w:tc>
        <w:tc>
          <w:tcPr>
            <w:tcW w:w="1275" w:type="dxa"/>
            <w:tcBorders>
              <w:top w:val="single" w:sz="4" w:space="0" w:color="auto"/>
              <w:left w:val="single" w:sz="4" w:space="0" w:color="auto"/>
              <w:bottom w:val="single" w:sz="4" w:space="0" w:color="auto"/>
              <w:right w:val="dashed" w:sz="4" w:space="0" w:color="auto"/>
            </w:tcBorders>
            <w:vAlign w:val="center"/>
          </w:tcPr>
          <w:p w:rsidR="00AA3AE1" w:rsidRPr="00E33B08" w:rsidRDefault="00AA3AE1" w:rsidP="00161C07">
            <w:pPr>
              <w:jc w:val="center"/>
              <w:rPr>
                <w:sz w:val="18"/>
              </w:rPr>
            </w:pPr>
            <w:r w:rsidRPr="00DC15E7">
              <w:rPr>
                <w:sz w:val="18"/>
              </w:rPr>
              <w:t>≤ 2 mln euro</w:t>
            </w:r>
          </w:p>
        </w:tc>
        <w:tc>
          <w:tcPr>
            <w:tcW w:w="851" w:type="dxa"/>
            <w:gridSpan w:val="2"/>
            <w:tcBorders>
              <w:top w:val="single" w:sz="4" w:space="0" w:color="auto"/>
              <w:left w:val="dashed" w:sz="4" w:space="0" w:color="auto"/>
              <w:bottom w:val="single" w:sz="4" w:space="0" w:color="auto"/>
              <w:right w:val="dashed" w:sz="4" w:space="0" w:color="auto"/>
            </w:tcBorders>
            <w:vAlign w:val="center"/>
          </w:tcPr>
          <w:p w:rsidR="00AA3AE1" w:rsidRPr="00E33B08" w:rsidRDefault="00AA3AE1" w:rsidP="00161C07">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vAlign w:val="center"/>
          </w:tcPr>
          <w:p w:rsidR="00AA3AE1" w:rsidRPr="00E33B08" w:rsidRDefault="00AA3AE1" w:rsidP="00161C07">
            <w:pPr>
              <w:ind w:left="60"/>
              <w:jc w:val="center"/>
              <w:rPr>
                <w:sz w:val="18"/>
              </w:rPr>
            </w:pPr>
            <w:r w:rsidRPr="00DC15E7">
              <w:rPr>
                <w:sz w:val="18"/>
              </w:rPr>
              <w:t>≤ 2 mln euro</w:t>
            </w:r>
          </w:p>
        </w:tc>
      </w:tr>
      <w:tr w:rsidR="00AA3AE1" w:rsidRPr="00E33B08">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AA3AE1" w:rsidRPr="00E33B08" w:rsidRDefault="00742A13" w:rsidP="00161C07">
            <w:pPr>
              <w:jc w:val="center"/>
              <w:rPr>
                <w:sz w:val="18"/>
              </w:rPr>
            </w:pPr>
            <w:r w:rsidRPr="00DC15E7">
              <w:rPr>
                <w:sz w:val="18"/>
              </w:rPr>
              <w:t>małe</w:t>
            </w:r>
          </w:p>
        </w:tc>
        <w:tc>
          <w:tcPr>
            <w:tcW w:w="1276" w:type="dxa"/>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&lt; 50</w:t>
            </w:r>
          </w:p>
        </w:tc>
        <w:tc>
          <w:tcPr>
            <w:tcW w:w="1275" w:type="dxa"/>
            <w:tcBorders>
              <w:top w:val="single" w:sz="4" w:space="0" w:color="auto"/>
              <w:left w:val="single" w:sz="4" w:space="0" w:color="auto"/>
              <w:bottom w:val="single" w:sz="4" w:space="0" w:color="auto"/>
              <w:right w:val="dashed" w:sz="4" w:space="0" w:color="auto"/>
            </w:tcBorders>
            <w:vAlign w:val="center"/>
          </w:tcPr>
          <w:p w:rsidR="00AA3AE1" w:rsidRPr="00E33B08" w:rsidRDefault="00AA3AE1" w:rsidP="00161C07">
            <w:pPr>
              <w:jc w:val="center"/>
              <w:rPr>
                <w:sz w:val="18"/>
              </w:rPr>
            </w:pPr>
            <w:r w:rsidRPr="00DC15E7">
              <w:rPr>
                <w:sz w:val="18"/>
              </w:rPr>
              <w:t>≤ 10 mln euro</w:t>
            </w:r>
          </w:p>
        </w:tc>
        <w:tc>
          <w:tcPr>
            <w:tcW w:w="851" w:type="dxa"/>
            <w:gridSpan w:val="2"/>
            <w:tcBorders>
              <w:top w:val="single" w:sz="4" w:space="0" w:color="auto"/>
              <w:left w:val="dashed" w:sz="4" w:space="0" w:color="auto"/>
              <w:bottom w:val="single" w:sz="4" w:space="0" w:color="auto"/>
              <w:right w:val="dashed" w:sz="4" w:space="0" w:color="auto"/>
            </w:tcBorders>
            <w:vAlign w:val="center"/>
          </w:tcPr>
          <w:p w:rsidR="00AA3AE1" w:rsidRPr="00E33B08" w:rsidRDefault="00AA3AE1" w:rsidP="00161C07">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vAlign w:val="center"/>
          </w:tcPr>
          <w:p w:rsidR="00AA3AE1" w:rsidRPr="00E33B08" w:rsidRDefault="00AA3AE1" w:rsidP="00161C07">
            <w:pPr>
              <w:ind w:left="85"/>
              <w:jc w:val="center"/>
              <w:rPr>
                <w:sz w:val="18"/>
              </w:rPr>
            </w:pPr>
            <w:r w:rsidRPr="00DC15E7">
              <w:rPr>
                <w:sz w:val="18"/>
              </w:rPr>
              <w:t>≤ 10 mln euro</w:t>
            </w:r>
          </w:p>
        </w:tc>
      </w:tr>
      <w:tr w:rsidR="00AA3AE1" w:rsidRPr="00E33B08">
        <w:trPr>
          <w:jc w:val="center"/>
        </w:trPr>
        <w:tc>
          <w:tcPr>
            <w:tcW w:w="1605" w:type="dxa"/>
            <w:tcBorders>
              <w:top w:val="single" w:sz="4" w:space="0" w:color="auto"/>
              <w:left w:val="single" w:sz="4" w:space="0" w:color="auto"/>
              <w:bottom w:val="single" w:sz="4" w:space="0" w:color="auto"/>
              <w:right w:val="single" w:sz="4" w:space="0" w:color="auto"/>
            </w:tcBorders>
            <w:vAlign w:val="center"/>
          </w:tcPr>
          <w:p w:rsidR="00AA3AE1" w:rsidRPr="00E33B08" w:rsidRDefault="00742A13" w:rsidP="00161C07">
            <w:pPr>
              <w:jc w:val="center"/>
              <w:rPr>
                <w:sz w:val="18"/>
              </w:rPr>
            </w:pPr>
            <w:r w:rsidRPr="00DC15E7">
              <w:rPr>
                <w:sz w:val="18"/>
              </w:rPr>
              <w:t>średnie</w:t>
            </w:r>
          </w:p>
        </w:tc>
        <w:tc>
          <w:tcPr>
            <w:tcW w:w="1276" w:type="dxa"/>
            <w:tcBorders>
              <w:top w:val="single" w:sz="4" w:space="0" w:color="auto"/>
              <w:left w:val="single" w:sz="4" w:space="0" w:color="auto"/>
              <w:bottom w:val="single" w:sz="4" w:space="0" w:color="auto"/>
              <w:right w:val="single" w:sz="4" w:space="0" w:color="auto"/>
            </w:tcBorders>
            <w:vAlign w:val="center"/>
          </w:tcPr>
          <w:p w:rsidR="00AA3AE1" w:rsidRPr="00E33B08" w:rsidRDefault="00AA3AE1" w:rsidP="00161C07">
            <w:pPr>
              <w:jc w:val="center"/>
              <w:rPr>
                <w:sz w:val="18"/>
              </w:rPr>
            </w:pPr>
            <w:r w:rsidRPr="00DC15E7">
              <w:rPr>
                <w:sz w:val="18"/>
              </w:rPr>
              <w:t>&lt; 250</w:t>
            </w:r>
          </w:p>
        </w:tc>
        <w:tc>
          <w:tcPr>
            <w:tcW w:w="1275" w:type="dxa"/>
            <w:tcBorders>
              <w:top w:val="single" w:sz="4" w:space="0" w:color="auto"/>
              <w:left w:val="single" w:sz="4" w:space="0" w:color="auto"/>
              <w:bottom w:val="single" w:sz="4" w:space="0" w:color="auto"/>
              <w:right w:val="dashed" w:sz="4" w:space="0" w:color="auto"/>
            </w:tcBorders>
            <w:vAlign w:val="center"/>
          </w:tcPr>
          <w:p w:rsidR="00AA3AE1" w:rsidRPr="00E33B08" w:rsidRDefault="00AA3AE1" w:rsidP="00161C07">
            <w:pPr>
              <w:jc w:val="center"/>
              <w:rPr>
                <w:sz w:val="18"/>
              </w:rPr>
            </w:pPr>
            <w:r w:rsidRPr="00DC15E7">
              <w:rPr>
                <w:sz w:val="18"/>
              </w:rPr>
              <w:t>≤ 50 mln euro</w:t>
            </w:r>
          </w:p>
        </w:tc>
        <w:tc>
          <w:tcPr>
            <w:tcW w:w="851" w:type="dxa"/>
            <w:gridSpan w:val="2"/>
            <w:tcBorders>
              <w:top w:val="single" w:sz="4" w:space="0" w:color="auto"/>
              <w:left w:val="dashed" w:sz="4" w:space="0" w:color="auto"/>
              <w:bottom w:val="single" w:sz="4" w:space="0" w:color="auto"/>
              <w:right w:val="dashed" w:sz="4" w:space="0" w:color="auto"/>
            </w:tcBorders>
            <w:vAlign w:val="center"/>
          </w:tcPr>
          <w:p w:rsidR="00AA3AE1" w:rsidRPr="00E33B08" w:rsidRDefault="00AA3AE1" w:rsidP="00161C07">
            <w:pPr>
              <w:ind w:left="-108" w:right="-108"/>
              <w:jc w:val="center"/>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vAlign w:val="center"/>
          </w:tcPr>
          <w:p w:rsidR="00AA3AE1" w:rsidRPr="00E33B08" w:rsidRDefault="00AA3AE1" w:rsidP="00161C07">
            <w:pPr>
              <w:ind w:left="85"/>
              <w:jc w:val="center"/>
              <w:rPr>
                <w:sz w:val="18"/>
              </w:rPr>
            </w:pPr>
            <w:r w:rsidRPr="00DC15E7">
              <w:rPr>
                <w:sz w:val="18"/>
              </w:rPr>
              <w:t>≤ 43 mln euro</w:t>
            </w:r>
          </w:p>
        </w:tc>
      </w:tr>
    </w:tbl>
    <w:p w:rsidR="00AA3AE1" w:rsidRDefault="00AA3AE1" w:rsidP="00AA3AE1">
      <w:pPr>
        <w:pStyle w:val="Tekstpodstawowy"/>
        <w:ind w:left="142"/>
        <w:rPr>
          <w:rFonts w:ascii="Calibri" w:hAnsi="Calibri" w:cs="Calibri"/>
          <w:color w:val="000000"/>
        </w:rPr>
      </w:pPr>
    </w:p>
    <w:p w:rsidR="00AA3AE1" w:rsidRPr="00161C07" w:rsidRDefault="00AA3AE1" w:rsidP="00863106">
      <w:pPr>
        <w:pStyle w:val="Tekstpodstawowy"/>
        <w:spacing w:before="120"/>
        <w:jc w:val="both"/>
        <w:rPr>
          <w:rFonts w:ascii="Calibri" w:hAnsi="Calibri" w:cs="Calibri"/>
          <w:color w:val="000000"/>
          <w:sz w:val="22"/>
          <w:szCs w:val="22"/>
        </w:rPr>
      </w:pPr>
      <w:r w:rsidRPr="00202FBB">
        <w:rPr>
          <w:rFonts w:ascii="Calibri" w:hAnsi="Calibri" w:cs="Calibri"/>
          <w:color w:val="000000"/>
          <w:sz w:val="22"/>
          <w:szCs w:val="22"/>
        </w:rPr>
        <w:t>Wnioskodawca może wybrać wskaźnik finansowy (roczny obrót lub roczna suma bilansowa), który posłuży do określenia statusu.</w:t>
      </w:r>
    </w:p>
    <w:p w:rsidR="00AA3AE1" w:rsidRPr="00161C07" w:rsidRDefault="00AA3AE1" w:rsidP="00863106">
      <w:pPr>
        <w:pStyle w:val="Tekstpodstawowy"/>
        <w:spacing w:before="120"/>
        <w:jc w:val="both"/>
        <w:rPr>
          <w:rFonts w:ascii="Calibri" w:hAnsi="Calibri" w:cs="Calibri"/>
          <w:color w:val="C00000"/>
          <w:sz w:val="22"/>
          <w:szCs w:val="22"/>
        </w:rPr>
      </w:pPr>
      <w:r w:rsidRPr="00161C07">
        <w:rPr>
          <w:rFonts w:ascii="Calibri" w:hAnsi="Calibri" w:cs="Calibri"/>
          <w:b/>
          <w:color w:val="C00000"/>
          <w:sz w:val="22"/>
          <w:szCs w:val="22"/>
        </w:rPr>
        <w:t>UWAGA! Pozostawanie w układzie przedsiębiorstw partnerskich lub powiązanych wpływa na sposób ustalenia poziomu zatrudnienia oraz pułapów finansowych, od których uzależnia się posiadanie bądź utratę statusu MŚP.</w:t>
      </w:r>
    </w:p>
    <w:p w:rsidR="00AA3AE1" w:rsidRPr="00161C07" w:rsidRDefault="00AA3AE1" w:rsidP="00863106">
      <w:pPr>
        <w:pStyle w:val="Tekstpodstawowy"/>
        <w:spacing w:before="120"/>
        <w:jc w:val="both"/>
        <w:rPr>
          <w:rFonts w:ascii="Calibri" w:hAnsi="Calibri" w:cs="Calibri"/>
          <w:color w:val="000000"/>
          <w:sz w:val="22"/>
          <w:szCs w:val="22"/>
        </w:rPr>
      </w:pPr>
      <w:r w:rsidRPr="00161C07">
        <w:rPr>
          <w:rFonts w:ascii="Calibri" w:hAnsi="Calibri" w:cs="Calibri"/>
          <w:color w:val="000000"/>
          <w:sz w:val="22"/>
          <w:szCs w:val="22"/>
        </w:rPr>
        <w:t xml:space="preserve">W przypadku, gdy w dniu zamknięcia ksiąg rachunkowych wskaźniki danego przedsiębiorstwa przekraczają lub spadają poniżej progu zatrudnienia lub pułapu finansowego, uzyskanie lub utrata statusu MŚP następuje </w:t>
      </w:r>
      <w:r w:rsidRPr="00161C07">
        <w:rPr>
          <w:rFonts w:ascii="Calibri" w:hAnsi="Calibri" w:cs="Calibri"/>
          <w:b/>
          <w:color w:val="000000"/>
          <w:sz w:val="22"/>
          <w:szCs w:val="22"/>
        </w:rPr>
        <w:t>tylko wówczas, gdy zjawisko to powtórzy się w ciągu dwóch następujących po sobie okresów referencyjnych.</w:t>
      </w:r>
    </w:p>
    <w:p w:rsidR="00AA3AE1" w:rsidRPr="00161C07" w:rsidRDefault="00AA3AE1" w:rsidP="009C281B">
      <w:pPr>
        <w:pStyle w:val="Tekstpodstawowy"/>
        <w:widowControl w:val="0"/>
        <w:tabs>
          <w:tab w:val="left" w:pos="567"/>
          <w:tab w:val="left" w:pos="1134"/>
          <w:tab w:val="left" w:pos="1701"/>
          <w:tab w:val="left" w:pos="2268"/>
        </w:tabs>
        <w:spacing w:after="0"/>
        <w:jc w:val="both"/>
        <w:rPr>
          <w:rFonts w:ascii="Calibri" w:hAnsi="Calibri" w:cs="Calibri"/>
          <w:color w:val="000000"/>
          <w:sz w:val="22"/>
          <w:szCs w:val="22"/>
        </w:rPr>
      </w:pPr>
      <w:r w:rsidRPr="00161C07">
        <w:rPr>
          <w:rFonts w:ascii="Calibri" w:hAnsi="Calibri" w:cs="Calibri"/>
          <w:color w:val="000000"/>
          <w:sz w:val="22"/>
          <w:szCs w:val="22"/>
        </w:rPr>
        <w:t>Powyższa zasada nie dotyczy sytuacji wynikających ze zmiany w strukturze właścicielskiej przedsiębiorstwa, np.:</w:t>
      </w:r>
    </w:p>
    <w:p w:rsidR="00AA3AE1" w:rsidRPr="00161C07" w:rsidRDefault="00AA3AE1" w:rsidP="009C281B">
      <w:pPr>
        <w:pStyle w:val="Tekstpodstawowy"/>
        <w:widowControl w:val="0"/>
        <w:numPr>
          <w:ilvl w:val="0"/>
          <w:numId w:val="5"/>
        </w:numPr>
        <w:suppressAutoHyphens/>
        <w:spacing w:after="0"/>
        <w:jc w:val="both"/>
        <w:rPr>
          <w:rFonts w:ascii="Calibri" w:hAnsi="Calibri" w:cs="Calibri"/>
          <w:color w:val="000000"/>
          <w:sz w:val="22"/>
          <w:szCs w:val="22"/>
        </w:rPr>
      </w:pPr>
      <w:r w:rsidRPr="00161C07">
        <w:rPr>
          <w:rFonts w:ascii="Calibri" w:hAnsi="Calibri" w:cs="Calibri"/>
          <w:color w:val="000000"/>
          <w:sz w:val="22"/>
          <w:szCs w:val="22"/>
        </w:rPr>
        <w:t xml:space="preserve">przejęcia przedsiębiorstwa mającego status MŚP przez przedsiębiorstwo duże i w związku z tym stanie się </w:t>
      </w:r>
      <w:r w:rsidRPr="00161C07">
        <w:rPr>
          <w:rFonts w:ascii="Calibri" w:hAnsi="Calibri" w:cs="Calibri"/>
          <w:sz w:val="22"/>
          <w:szCs w:val="22"/>
        </w:rPr>
        <w:t>przedsiębiorstwem powiązanym lub partnerskim.</w:t>
      </w:r>
      <w:r w:rsidRPr="00161C07">
        <w:rPr>
          <w:rFonts w:ascii="Calibri" w:hAnsi="Calibri" w:cs="Calibri"/>
          <w:color w:val="000000"/>
          <w:sz w:val="22"/>
          <w:szCs w:val="22"/>
        </w:rPr>
        <w:t xml:space="preserve"> </w:t>
      </w:r>
    </w:p>
    <w:p w:rsidR="00AA3AE1" w:rsidRPr="00161C07" w:rsidRDefault="00AA3AE1" w:rsidP="00AA3AE1">
      <w:pPr>
        <w:pStyle w:val="Tekstpodstawowy"/>
        <w:widowControl w:val="0"/>
        <w:numPr>
          <w:ilvl w:val="0"/>
          <w:numId w:val="5"/>
        </w:numPr>
        <w:suppressAutoHyphens/>
        <w:spacing w:after="0"/>
        <w:jc w:val="both"/>
        <w:rPr>
          <w:rFonts w:ascii="Calibri" w:hAnsi="Calibri" w:cs="Calibri"/>
          <w:color w:val="000000"/>
          <w:sz w:val="22"/>
          <w:szCs w:val="22"/>
        </w:rPr>
      </w:pPr>
      <w:r w:rsidRPr="00161C07">
        <w:rPr>
          <w:rFonts w:ascii="Calibri" w:hAnsi="Calibri" w:cs="Calibri"/>
          <w:color w:val="000000"/>
          <w:sz w:val="22"/>
          <w:szCs w:val="22"/>
        </w:rPr>
        <w:t>utrata statusu mikro</w:t>
      </w:r>
      <w:r w:rsidR="0085765C">
        <w:rPr>
          <w:rFonts w:ascii="Calibri" w:hAnsi="Calibri" w:cs="Calibri"/>
          <w:color w:val="000000"/>
          <w:sz w:val="22"/>
          <w:szCs w:val="22"/>
        </w:rPr>
        <w:t>-</w:t>
      </w:r>
      <w:r w:rsidRPr="00161C07">
        <w:rPr>
          <w:rFonts w:ascii="Calibri" w:hAnsi="Calibri" w:cs="Calibri"/>
          <w:color w:val="000000"/>
          <w:sz w:val="22"/>
          <w:szCs w:val="22"/>
        </w:rPr>
        <w:t xml:space="preserve"> lub małego przedsiębiorstwa może mieć także miejsce w przypadku przejęcia </w:t>
      </w:r>
      <w:r w:rsidRPr="00161C07">
        <w:rPr>
          <w:rFonts w:ascii="Calibri" w:hAnsi="Calibri" w:cs="Calibri"/>
          <w:color w:val="000000"/>
          <w:sz w:val="22"/>
          <w:szCs w:val="22"/>
        </w:rPr>
        <w:lastRenderedPageBreak/>
        <w:t>mikro</w:t>
      </w:r>
      <w:r w:rsidR="0085765C">
        <w:rPr>
          <w:rFonts w:ascii="Calibri" w:hAnsi="Calibri" w:cs="Calibri"/>
          <w:color w:val="000000"/>
          <w:sz w:val="22"/>
          <w:szCs w:val="22"/>
        </w:rPr>
        <w:t>przedsiębiorstwo</w:t>
      </w:r>
      <w:r w:rsidRPr="00161C07">
        <w:rPr>
          <w:rFonts w:ascii="Calibri" w:hAnsi="Calibri" w:cs="Calibri"/>
          <w:color w:val="000000"/>
          <w:sz w:val="22"/>
          <w:szCs w:val="22"/>
        </w:rPr>
        <w:t xml:space="preserve"> przez małe lub średnie przedsiębiorstwo, a w przypadku małego w wyniku przejęcia przez średnie przedsiębiorstwo.</w:t>
      </w:r>
    </w:p>
    <w:p w:rsidR="00AA3AE1" w:rsidRPr="00161C07" w:rsidRDefault="00AA3AE1" w:rsidP="00863106">
      <w:pPr>
        <w:pStyle w:val="Tekstpodstawowy"/>
        <w:widowControl w:val="0"/>
        <w:spacing w:before="120"/>
        <w:jc w:val="both"/>
        <w:rPr>
          <w:rFonts w:ascii="Calibri" w:hAnsi="Calibri" w:cs="Calibri"/>
          <w:color w:val="000000"/>
          <w:sz w:val="22"/>
          <w:szCs w:val="22"/>
        </w:rPr>
      </w:pPr>
      <w:r w:rsidRPr="00161C07">
        <w:rPr>
          <w:rFonts w:ascii="Calibri" w:hAnsi="Calibri" w:cs="Calibri"/>
          <w:color w:val="000000"/>
          <w:sz w:val="22"/>
          <w:szCs w:val="22"/>
        </w:rPr>
        <w:t xml:space="preserve">Gdy nastąpi zmiana w strukturze właścicielskiej, </w:t>
      </w:r>
      <w:r w:rsidRPr="00161C07">
        <w:rPr>
          <w:rFonts w:ascii="Calibri" w:hAnsi="Calibri" w:cs="Calibri"/>
          <w:b/>
          <w:color w:val="C00000"/>
          <w:sz w:val="22"/>
          <w:szCs w:val="22"/>
        </w:rPr>
        <w:t>zmiana statusu następuje w dniu dokonania się tej zmiany, jeśli wynika tak z ponownej analizy danych dotyczących zatrudnienia i danych finansowych</w:t>
      </w:r>
      <w:r w:rsidRPr="00161C07">
        <w:rPr>
          <w:rFonts w:ascii="Calibri" w:hAnsi="Calibri" w:cs="Calibri"/>
          <w:color w:val="000000"/>
          <w:sz w:val="22"/>
          <w:szCs w:val="22"/>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rsidR="00AA3AE1" w:rsidRPr="00161C07" w:rsidRDefault="00AA3AE1" w:rsidP="00863106">
      <w:pPr>
        <w:pStyle w:val="Tekstpodstawowy"/>
        <w:widowControl w:val="0"/>
        <w:spacing w:before="120"/>
        <w:jc w:val="both"/>
        <w:rPr>
          <w:rFonts w:ascii="Calibri" w:hAnsi="Calibri" w:cs="Calibri"/>
          <w:color w:val="000000"/>
          <w:sz w:val="22"/>
          <w:szCs w:val="22"/>
        </w:rPr>
      </w:pPr>
      <w:r w:rsidRPr="00161C07">
        <w:rPr>
          <w:rFonts w:ascii="Calibri" w:hAnsi="Calibri" w:cs="Calibri"/>
          <w:color w:val="000000"/>
          <w:sz w:val="22"/>
          <w:szCs w:val="22"/>
        </w:rPr>
        <w:t>W przypadku</w:t>
      </w:r>
      <w:r w:rsidRPr="00161C07">
        <w:rPr>
          <w:rFonts w:ascii="Calibri" w:hAnsi="Calibri" w:cs="Calibri"/>
          <w:color w:val="C00000"/>
          <w:sz w:val="22"/>
          <w:szCs w:val="22"/>
        </w:rPr>
        <w:t xml:space="preserve"> </w:t>
      </w:r>
      <w:r w:rsidRPr="00161C07">
        <w:rPr>
          <w:rFonts w:ascii="Calibri" w:hAnsi="Calibri" w:cs="Calibri"/>
          <w:b/>
          <w:bCs/>
          <w:color w:val="C00000"/>
          <w:sz w:val="22"/>
          <w:szCs w:val="22"/>
        </w:rPr>
        <w:t>nowo</w:t>
      </w:r>
      <w:r w:rsidR="00742A13">
        <w:rPr>
          <w:rFonts w:ascii="Calibri" w:hAnsi="Calibri" w:cs="Calibri"/>
          <w:b/>
          <w:bCs/>
          <w:color w:val="C00000"/>
          <w:sz w:val="22"/>
          <w:szCs w:val="22"/>
        </w:rPr>
        <w:t xml:space="preserve"> </w:t>
      </w:r>
      <w:r w:rsidRPr="00161C07">
        <w:rPr>
          <w:rFonts w:ascii="Calibri" w:hAnsi="Calibri" w:cs="Calibri"/>
          <w:b/>
          <w:bCs/>
          <w:color w:val="C00000"/>
          <w:sz w:val="22"/>
          <w:szCs w:val="22"/>
        </w:rPr>
        <w:t>utworzonych</w:t>
      </w:r>
      <w:r w:rsidRPr="00161C07">
        <w:rPr>
          <w:rFonts w:ascii="Calibri" w:hAnsi="Calibri" w:cs="Calibri"/>
          <w:color w:val="C00000"/>
          <w:sz w:val="22"/>
          <w:szCs w:val="22"/>
        </w:rPr>
        <w:t xml:space="preserve"> </w:t>
      </w:r>
      <w:r w:rsidRPr="00161C07">
        <w:rPr>
          <w:rFonts w:ascii="Calibri" w:hAnsi="Calibri" w:cs="Calibri"/>
          <w:color w:val="000000"/>
          <w:sz w:val="22"/>
          <w:szCs w:val="22"/>
        </w:rPr>
        <w:t>przedsiębiorstw, których księgi rachunkowe jeszcze nie zostały zamknięte dane, które mają zastosowanie pochodzą z oceny dokonanej w dobrej wierze zgodnie z zasadami najlepszej praktyki w</w:t>
      </w:r>
      <w:r w:rsidR="008E738C">
        <w:rPr>
          <w:rFonts w:ascii="Calibri" w:hAnsi="Calibri" w:cs="Calibri"/>
          <w:color w:val="000000"/>
          <w:sz w:val="22"/>
          <w:szCs w:val="22"/>
        </w:rPr>
        <w:t> </w:t>
      </w:r>
      <w:r w:rsidRPr="00161C07">
        <w:rPr>
          <w:rFonts w:ascii="Calibri" w:hAnsi="Calibri" w:cs="Calibri"/>
          <w:color w:val="000000"/>
          <w:sz w:val="22"/>
          <w:szCs w:val="22"/>
        </w:rPr>
        <w:t>trakcie roku obrachunkowego na podstawie biznesplanu.</w:t>
      </w:r>
    </w:p>
    <w:p w:rsidR="00AA3AE1" w:rsidRPr="00161C07" w:rsidRDefault="00AA3AE1" w:rsidP="00863106">
      <w:pPr>
        <w:pStyle w:val="Tekstprzypisukocowego"/>
        <w:spacing w:before="120" w:after="120"/>
        <w:jc w:val="both"/>
        <w:rPr>
          <w:rFonts w:cs="Calibri"/>
          <w:sz w:val="22"/>
          <w:szCs w:val="22"/>
        </w:rPr>
      </w:pPr>
      <w:r w:rsidRPr="00161C07">
        <w:rPr>
          <w:sz w:val="22"/>
          <w:szCs w:val="22"/>
        </w:rPr>
        <w:t>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r w:rsidRPr="00161C07">
        <w:rPr>
          <w:rFonts w:cs="Calibri"/>
          <w:sz w:val="22"/>
          <w:szCs w:val="22"/>
        </w:rPr>
        <w:t xml:space="preserve"> </w:t>
      </w:r>
      <w:r w:rsidRPr="00161C07">
        <w:rPr>
          <w:sz w:val="22"/>
          <w:szCs w:val="22"/>
        </w:rPr>
        <w:t>Jeżeli w dniu zamknięcia ksiąg rachunkowych dane przedsiębiorstwo stwierdza, że w skali rocznej przekroczyło pułapy zatrudnienia lub pu</w:t>
      </w:r>
      <w:r w:rsidR="0085765C">
        <w:rPr>
          <w:sz w:val="22"/>
          <w:szCs w:val="22"/>
        </w:rPr>
        <w:t xml:space="preserve">łapy finansowe określone w art. </w:t>
      </w:r>
      <w:r w:rsidRPr="00161C07">
        <w:rPr>
          <w:sz w:val="22"/>
          <w:szCs w:val="22"/>
        </w:rPr>
        <w:t>2, lub spadło poniżej tych pułapów, uzyskanie lub utrata statusu średniego, małego lub mikroprzedsiębiorstwa następuje tylko wówczas, gdy zjawisko to powtórzy się w ciągu dwóch ko</w:t>
      </w:r>
      <w:r w:rsidR="0085765C">
        <w:rPr>
          <w:sz w:val="22"/>
          <w:szCs w:val="22"/>
        </w:rPr>
        <w:t>lejnych okresów obrachunkowych.</w:t>
      </w:r>
    </w:p>
    <w:p w:rsidR="00AA3AE1" w:rsidRPr="006B570A" w:rsidRDefault="00AA3AE1" w:rsidP="009C281B">
      <w:pPr>
        <w:spacing w:after="0" w:line="240" w:lineRule="auto"/>
        <w:rPr>
          <w:rFonts w:eastAsia="Calibri" w:cs="Calibri"/>
          <w:b/>
          <w:bCs/>
          <w:color w:val="C00000"/>
          <w:lang w:eastAsia="pl-PL"/>
        </w:rPr>
      </w:pPr>
      <w:r w:rsidRPr="006B570A">
        <w:rPr>
          <w:rFonts w:eastAsia="Calibri" w:cs="Calibri"/>
          <w:b/>
          <w:bCs/>
          <w:color w:val="C00000"/>
          <w:lang w:eastAsia="pl-PL"/>
        </w:rPr>
        <w:t>Przedsiębiorstwo samodzielne:</w:t>
      </w:r>
    </w:p>
    <w:p w:rsidR="00AA3AE1" w:rsidRPr="00161C07" w:rsidRDefault="00AA3AE1" w:rsidP="009C281B">
      <w:pPr>
        <w:numPr>
          <w:ilvl w:val="0"/>
          <w:numId w:val="6"/>
        </w:numPr>
        <w:spacing w:after="0" w:line="240" w:lineRule="auto"/>
        <w:contextualSpacing/>
        <w:jc w:val="both"/>
      </w:pPr>
      <w:r w:rsidRPr="00161C07">
        <w:t>nie posiada udziałów w innych przedsiębiorstwach, a inne przedsiębiorstwa nie posiadają w nim udziałów;</w:t>
      </w:r>
    </w:p>
    <w:p w:rsidR="00AA3AE1" w:rsidRPr="00161C07" w:rsidRDefault="00AA3AE1" w:rsidP="00742A13">
      <w:pPr>
        <w:numPr>
          <w:ilvl w:val="0"/>
          <w:numId w:val="6"/>
        </w:numPr>
        <w:spacing w:after="0" w:line="240" w:lineRule="auto"/>
        <w:contextualSpacing/>
        <w:jc w:val="both"/>
      </w:pPr>
      <w:r w:rsidRPr="00161C07">
        <w:t xml:space="preserve">posiada poniżej 25 % kapitału lub głosów (w </w:t>
      </w:r>
      <w:r w:rsidR="0085765C" w:rsidRPr="00161C07">
        <w:t>zależności,</w:t>
      </w:r>
      <w:r w:rsidRPr="00161C07">
        <w:t xml:space="preserve"> która z tych wielkości jest większa) w jednym lub kilku przedsiębiorstwach, a/lub inne przedsiębiorstwa posiadają pon</w:t>
      </w:r>
      <w:r w:rsidR="00742A13">
        <w:t>iżej 25% kapitału lub głosów (w </w:t>
      </w:r>
      <w:r w:rsidR="0085765C">
        <w:t>z</w:t>
      </w:r>
      <w:r w:rsidRPr="00161C07">
        <w:t>ależności, która z tych wielkości jest większa) w tym przedsiębiorstwie.</w:t>
      </w:r>
    </w:p>
    <w:p w:rsidR="00742A13" w:rsidRDefault="00742A13" w:rsidP="00742A13">
      <w:pPr>
        <w:spacing w:after="0" w:line="240" w:lineRule="auto"/>
        <w:contextualSpacing/>
        <w:jc w:val="both"/>
      </w:pPr>
    </w:p>
    <w:p w:rsidR="00AA3AE1" w:rsidRPr="00161C07" w:rsidRDefault="00AA3AE1" w:rsidP="00742A13">
      <w:pPr>
        <w:spacing w:after="0" w:line="240" w:lineRule="auto"/>
        <w:contextualSpacing/>
        <w:jc w:val="both"/>
      </w:pPr>
      <w:r w:rsidRPr="00161C07">
        <w:t>Jeśli przedsiębiorstwo jest samodzielne, to oznacza to, że nie jest ani przedsiębiorstwem partnerskim, ani przedsiębiorstwem powiąz</w:t>
      </w:r>
      <w:r w:rsidR="00742A13">
        <w:t>anym z innym przedsiębiorstwem.</w:t>
      </w:r>
    </w:p>
    <w:p w:rsidR="00AA3AE1" w:rsidRPr="00161C07" w:rsidRDefault="00AA3AE1" w:rsidP="00863106">
      <w:pPr>
        <w:spacing w:before="120" w:after="120" w:line="240" w:lineRule="auto"/>
        <w:jc w:val="both"/>
      </w:pPr>
      <w:r w:rsidRPr="00161C07">
        <w:rPr>
          <w:b/>
        </w:rPr>
        <w:t>Przedsiębiorstwo</w:t>
      </w:r>
      <w:r w:rsidRPr="00161C07">
        <w:t xml:space="preserve"> może posiadać kilku inwestorów, z których każdy ma w nim poniżej 25% </w:t>
      </w:r>
      <w:r w:rsidR="000A3488" w:rsidRPr="00161C07">
        <w:t>kapitału lub głosów i </w:t>
      </w:r>
      <w:r w:rsidRPr="00161C07">
        <w:t>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rsidR="00AA3AE1" w:rsidRPr="00161C07" w:rsidRDefault="00AA3AE1" w:rsidP="00863106">
      <w:pPr>
        <w:tabs>
          <w:tab w:val="left" w:pos="709"/>
        </w:tabs>
        <w:spacing w:before="120" w:after="120" w:line="240" w:lineRule="auto"/>
        <w:jc w:val="both"/>
        <w:rPr>
          <w:rFonts w:cs="Arial"/>
        </w:rPr>
      </w:pPr>
      <w:r w:rsidRPr="00161C07">
        <w:rPr>
          <w:rFonts w:cs="Arial"/>
        </w:rPr>
        <w:t>W przypadku przedsiębiorstwa samodzielnego podstawą do sprawdzenia, czy zachowuje ono progi i pułapy jest liczba osób zatrudnionych i dane finansowe zawarte w jego sprawozdaniach finansowych.</w:t>
      </w:r>
    </w:p>
    <w:p w:rsidR="00AA3AE1" w:rsidRPr="00161C07" w:rsidRDefault="00AA3AE1" w:rsidP="00863106">
      <w:pPr>
        <w:spacing w:before="120" w:after="120" w:line="240" w:lineRule="auto"/>
        <w:jc w:val="both"/>
      </w:pPr>
      <w:r w:rsidRPr="00161C07">
        <w:rPr>
          <w:b/>
          <w:color w:val="C00000"/>
        </w:rPr>
        <w:t>Przedsiębiorstwo partnerskie</w:t>
      </w:r>
      <w:r w:rsidRPr="00161C07">
        <w:t xml:space="preserve"> oznaczają wszystkie przedsiębiorstwa, które nie zostały zakwalifikowane jako przedsiębiorstwa powiązane w rozumieniu art. 3 ust. 3 Załącznika nr 1 Rozporządzenia Komisji (UE) nr 651/2014 </w:t>
      </w:r>
      <w:r w:rsidR="000A3488" w:rsidRPr="00161C07">
        <w:t>i </w:t>
      </w:r>
      <w:r w:rsidRPr="00161C07">
        <w:t xml:space="preserve">między którymi istnieją następujące związki: przedsiębiorstwo wyższego szczebla (typu </w:t>
      </w:r>
      <w:proofErr w:type="spellStart"/>
      <w:r w:rsidRPr="00161C07">
        <w:t>upstream</w:t>
      </w:r>
      <w:proofErr w:type="spellEnd"/>
      <w:r w:rsidRPr="00161C07">
        <w:t>) posiada, samodzielnie lub wspólnie z co najmniej jednym przedsiębiorstwem powiązanym w ro</w:t>
      </w:r>
      <w:r w:rsidR="002A3304" w:rsidRPr="00161C07">
        <w:t>zumieniu ust. 3, co najmniej 25</w:t>
      </w:r>
      <w:r w:rsidRPr="00161C07">
        <w:t xml:space="preserve">% kapitału innego przedsiębiorstwa niższego szczebla (typu </w:t>
      </w:r>
      <w:proofErr w:type="spellStart"/>
      <w:r w:rsidRPr="00161C07">
        <w:t>downstream</w:t>
      </w:r>
      <w:proofErr w:type="spellEnd"/>
      <w:r w:rsidRPr="00161C07">
        <w:t>) lub praw głosu w takim przedsiębiorstwie.</w:t>
      </w:r>
    </w:p>
    <w:p w:rsidR="00AA3AE1" w:rsidRPr="00161C07" w:rsidRDefault="00AA3AE1" w:rsidP="00863106">
      <w:pPr>
        <w:spacing w:before="120" w:after="120" w:line="240" w:lineRule="auto"/>
        <w:jc w:val="both"/>
      </w:pPr>
      <w:r w:rsidRPr="00161C07">
        <w:t>Ustalenie statusu MŚP wymaga dodania do danych badanego przedsiębiorstwa, danych przedsiębiorstwa partnerskiego w stopniu proporcjonalnym do procentowego udziału w kapitale lub prawach głosu (zależnie od tego, która z tych wartości jest większa).</w:t>
      </w:r>
    </w:p>
    <w:p w:rsidR="00AA3AE1" w:rsidRPr="0085765C" w:rsidRDefault="00AA3AE1" w:rsidP="009C281B">
      <w:pPr>
        <w:pStyle w:val="Tekstprzypisukocowego"/>
        <w:jc w:val="both"/>
        <w:rPr>
          <w:rFonts w:cs="Calibri"/>
          <w:b/>
          <w:sz w:val="22"/>
          <w:szCs w:val="22"/>
        </w:rPr>
      </w:pPr>
      <w:r w:rsidRPr="00161C07">
        <w:rPr>
          <w:rFonts w:cs="Calibri"/>
          <w:b/>
          <w:color w:val="C00000"/>
          <w:sz w:val="22"/>
          <w:szCs w:val="22"/>
        </w:rPr>
        <w:t>Przedsiębiorstwa powiązane</w:t>
      </w:r>
      <w:r w:rsidRPr="00161C07">
        <w:rPr>
          <w:rFonts w:cs="Calibri"/>
          <w:b/>
          <w:color w:val="FF0000"/>
          <w:sz w:val="22"/>
          <w:szCs w:val="22"/>
        </w:rPr>
        <w:t xml:space="preserve"> </w:t>
      </w:r>
      <w:r w:rsidRPr="00161C07">
        <w:rPr>
          <w:rFonts w:cs="Calibri"/>
          <w:sz w:val="22"/>
          <w:szCs w:val="22"/>
        </w:rPr>
        <w:t xml:space="preserve">oznaczają przedsiębiorstwa, które pozostają w jednym z poniższych </w:t>
      </w:r>
      <w:r w:rsidRPr="0085765C">
        <w:rPr>
          <w:rFonts w:cs="Calibri"/>
          <w:sz w:val="22"/>
          <w:szCs w:val="22"/>
        </w:rPr>
        <w:t>związków:</w:t>
      </w:r>
    </w:p>
    <w:p w:rsidR="00AA3AE1" w:rsidRPr="00742A13" w:rsidRDefault="00AA3AE1" w:rsidP="009C281B">
      <w:pPr>
        <w:numPr>
          <w:ilvl w:val="0"/>
          <w:numId w:val="6"/>
        </w:numPr>
        <w:spacing w:after="0" w:line="240" w:lineRule="auto"/>
        <w:contextualSpacing/>
        <w:jc w:val="both"/>
      </w:pPr>
      <w:r w:rsidRPr="0085765C">
        <w:t>przedsiębiorstwo ma większość praw głosu w innym przedsiębiorstwie w roli udziałowca/akcjonariusza</w:t>
      </w:r>
      <w:r w:rsidR="00704CF2">
        <w:t xml:space="preserve"> lub członka,</w:t>
      </w:r>
    </w:p>
    <w:p w:rsidR="00AA3AE1" w:rsidRPr="00742A13" w:rsidRDefault="00AA3AE1" w:rsidP="00742A13">
      <w:pPr>
        <w:numPr>
          <w:ilvl w:val="0"/>
          <w:numId w:val="6"/>
        </w:numPr>
        <w:spacing w:after="0" w:line="240" w:lineRule="auto"/>
        <w:contextualSpacing/>
        <w:jc w:val="both"/>
      </w:pPr>
      <w:r w:rsidRPr="00742A13">
        <w:t>przedsiębiorstwo ma prawo wyznaczyć lub odwołać większość członków organu administracyjnego, zarządzającego lub nadz</w:t>
      </w:r>
      <w:r w:rsidR="00704CF2">
        <w:t>orczego innego przedsiębiorstwa,</w:t>
      </w:r>
    </w:p>
    <w:p w:rsidR="00AA3AE1" w:rsidRPr="00742A13" w:rsidRDefault="00AA3AE1" w:rsidP="00742A13">
      <w:pPr>
        <w:numPr>
          <w:ilvl w:val="0"/>
          <w:numId w:val="6"/>
        </w:numPr>
        <w:spacing w:after="0" w:line="240" w:lineRule="auto"/>
        <w:contextualSpacing/>
        <w:jc w:val="both"/>
      </w:pPr>
      <w:r w:rsidRPr="00742A13">
        <w:t xml:space="preserve">przedsiębiorstwo ma prawo wywierać dominujący wpływ na inne przedsiębiorstwo na podstawie umowy zawartej z tym przedsiębiorstwem lub postanowień w </w:t>
      </w:r>
      <w:r w:rsidR="00704CF2">
        <w:t>jego statucie lub umowie spółki,</w:t>
      </w:r>
    </w:p>
    <w:p w:rsidR="00AA3AE1" w:rsidRPr="00595D7C" w:rsidRDefault="00AA3AE1" w:rsidP="00742A13">
      <w:pPr>
        <w:numPr>
          <w:ilvl w:val="0"/>
          <w:numId w:val="6"/>
        </w:numPr>
        <w:spacing w:after="0" w:line="240" w:lineRule="auto"/>
        <w:contextualSpacing/>
        <w:jc w:val="both"/>
        <w:rPr>
          <w:rFonts w:cs="Calibri"/>
          <w:bCs/>
        </w:rPr>
      </w:pPr>
      <w:r w:rsidRPr="00742A13">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w:t>
      </w:r>
      <w:r w:rsidRPr="00742A13">
        <w:rPr>
          <w:rFonts w:cs="Calibri"/>
        </w:rPr>
        <w:t xml:space="preserve"> przedsiębiorstwie.</w:t>
      </w:r>
      <w:bookmarkStart w:id="0" w:name="_GoBack"/>
      <w:bookmarkEnd w:id="0"/>
    </w:p>
    <w:p w:rsidR="00AA3AE1" w:rsidRPr="00161C07" w:rsidRDefault="00AA3AE1" w:rsidP="00863106">
      <w:pPr>
        <w:pStyle w:val="Tekstprzypisukocowego"/>
        <w:spacing w:before="120" w:after="120"/>
        <w:jc w:val="both"/>
        <w:rPr>
          <w:rFonts w:cs="Calibri"/>
          <w:b/>
          <w:sz w:val="22"/>
          <w:szCs w:val="22"/>
        </w:rPr>
      </w:pPr>
      <w:r w:rsidRPr="00742A13">
        <w:rPr>
          <w:rFonts w:cs="Calibri"/>
          <w:sz w:val="22"/>
          <w:szCs w:val="22"/>
        </w:rPr>
        <w:t>Przedsiębiorstwa, które pozostają w</w:t>
      </w:r>
      <w:r w:rsidRPr="00161C07">
        <w:rPr>
          <w:rFonts w:cs="Calibri"/>
          <w:sz w:val="22"/>
          <w:szCs w:val="22"/>
        </w:rPr>
        <w:t xml:space="preserve"> jednym </w:t>
      </w:r>
      <w:r w:rsidRPr="00161C07">
        <w:rPr>
          <w:rFonts w:cs="Calibri"/>
          <w:b/>
          <w:sz w:val="22"/>
          <w:szCs w:val="22"/>
        </w:rPr>
        <w:t xml:space="preserve">ze związków opisanych powyżej za pośrednictwem co najmniej jednego przedsiębiorstwa, lub jednego z inwestorów, o których mowa w art.3 ust. 2 akapit drugi załącznika nr I do </w:t>
      </w:r>
      <w:r w:rsidRPr="00DB5B1A">
        <w:rPr>
          <w:rFonts w:cs="Calibri"/>
          <w:b/>
          <w:bCs/>
          <w:color w:val="000000"/>
          <w:sz w:val="22"/>
          <w:szCs w:val="22"/>
        </w:rPr>
        <w:t>Rozporządzenia Komisji (UE) nr 651/2014</w:t>
      </w:r>
      <w:r w:rsidRPr="00161C07">
        <w:rPr>
          <w:rFonts w:cs="Calibri"/>
          <w:b/>
          <w:sz w:val="22"/>
          <w:szCs w:val="22"/>
        </w:rPr>
        <w:t>, również uznaje się za powiązane.</w:t>
      </w:r>
    </w:p>
    <w:p w:rsidR="00AA3AE1" w:rsidRPr="00161C07" w:rsidRDefault="00AA3AE1" w:rsidP="00863106">
      <w:pPr>
        <w:pStyle w:val="Tekstprzypisukocowego"/>
        <w:spacing w:before="120" w:after="120"/>
        <w:jc w:val="both"/>
        <w:rPr>
          <w:rFonts w:cs="Calibri"/>
          <w:sz w:val="22"/>
          <w:szCs w:val="22"/>
        </w:rPr>
      </w:pPr>
      <w:r w:rsidRPr="00161C07">
        <w:rPr>
          <w:rFonts w:cs="Calibri"/>
          <w:sz w:val="22"/>
          <w:szCs w:val="22"/>
        </w:rPr>
        <w:t xml:space="preserve">Przedsiębiorstwa pozostające w jednym z takich związków za pośrednictwem osoby fizycznej lub grupy osób fizycznych działających wspólnie </w:t>
      </w:r>
      <w:r w:rsidRPr="00161C07">
        <w:rPr>
          <w:rFonts w:cs="Calibri"/>
          <w:b/>
          <w:sz w:val="22"/>
          <w:szCs w:val="22"/>
        </w:rPr>
        <w:t>również uznaje się za przedsiębiorstwa powiązane, jeżeli</w:t>
      </w:r>
      <w:r w:rsidRPr="00161C07">
        <w:rPr>
          <w:rFonts w:cs="Calibri"/>
          <w:sz w:val="22"/>
          <w:szCs w:val="22"/>
        </w:rPr>
        <w:t xml:space="preserve"> prowadzą one swoją działalność lub część działalności na tym samym rynku właściwym lub rynkach pokrewnych w rozumieniu obwieszczenia Komisji w sprawie definicji rynku właściwego do celów wspólnotowego prawa k</w:t>
      </w:r>
      <w:r w:rsidR="000A3488" w:rsidRPr="00161C07">
        <w:rPr>
          <w:rFonts w:cs="Calibri"/>
          <w:sz w:val="22"/>
          <w:szCs w:val="22"/>
        </w:rPr>
        <w:t>onkurencji (Dz.U. </w:t>
      </w:r>
      <w:r w:rsidRPr="00161C07">
        <w:rPr>
          <w:rFonts w:cs="Calibri"/>
          <w:sz w:val="22"/>
          <w:szCs w:val="22"/>
        </w:rPr>
        <w:t>WE C 372/5).</w:t>
      </w:r>
      <w:r w:rsidR="00BB6BB7" w:rsidRPr="00161C07">
        <w:rPr>
          <w:rFonts w:cs="Calibri"/>
          <w:sz w:val="22"/>
          <w:szCs w:val="22"/>
        </w:rPr>
        <w:t xml:space="preserve"> </w:t>
      </w:r>
      <w:r w:rsidRPr="00161C07">
        <w:rPr>
          <w:rFonts w:cs="Calibri"/>
          <w:sz w:val="22"/>
          <w:szCs w:val="22"/>
        </w:rPr>
        <w:t>Za</w:t>
      </w:r>
      <w:r w:rsidRPr="002E4371">
        <w:rPr>
          <w:rFonts w:cs="Calibri"/>
          <w:sz w:val="22"/>
          <w:szCs w:val="22"/>
        </w:rPr>
        <w:t xml:space="preserve"> </w:t>
      </w:r>
      <w:r w:rsidR="00704CF2" w:rsidRPr="00704CF2">
        <w:rPr>
          <w:b/>
          <w:sz w:val="22"/>
          <w:szCs w:val="22"/>
        </w:rPr>
        <w:t>„</w:t>
      </w:r>
      <w:r w:rsidRPr="002E4371">
        <w:rPr>
          <w:rFonts w:cs="Calibri"/>
          <w:b/>
          <w:sz w:val="22"/>
          <w:szCs w:val="22"/>
        </w:rPr>
        <w:t>rynek pokrewny</w:t>
      </w:r>
      <w:r w:rsidR="00704CF2" w:rsidRPr="00704CF2">
        <w:rPr>
          <w:rFonts w:cs="EUAlbertina-Regu"/>
          <w:b/>
          <w:lang w:eastAsia="pl-PL"/>
        </w:rPr>
        <w:t>”</w:t>
      </w:r>
      <w:r w:rsidRPr="002E4371">
        <w:rPr>
          <w:rFonts w:cs="Calibri"/>
          <w:sz w:val="22"/>
          <w:szCs w:val="22"/>
        </w:rPr>
        <w:t xml:space="preserve"> </w:t>
      </w:r>
      <w:r w:rsidRPr="00161C07">
        <w:rPr>
          <w:rFonts w:cs="Calibri"/>
          <w:sz w:val="22"/>
          <w:szCs w:val="22"/>
        </w:rPr>
        <w:t>uważa się rynek dla danego produktu lub usługi znajdujący się bezpośrednio na wyższym lub niższym szczeblu rynku w stosunku do rynku właściwego.</w:t>
      </w:r>
    </w:p>
    <w:p w:rsidR="00AA3AE1" w:rsidRPr="00161C07" w:rsidRDefault="00AA3AE1" w:rsidP="00863106">
      <w:pPr>
        <w:pStyle w:val="Tekstprzypisukocowego"/>
        <w:spacing w:before="120" w:after="120"/>
        <w:jc w:val="both"/>
        <w:rPr>
          <w:rFonts w:cs="Calibri"/>
          <w:b/>
          <w:color w:val="C00000"/>
          <w:sz w:val="22"/>
          <w:szCs w:val="22"/>
          <w:lang w:eastAsia="pl-PL"/>
        </w:rPr>
      </w:pPr>
      <w:r w:rsidRPr="00161C07">
        <w:rPr>
          <w:rFonts w:cs="Calibri"/>
          <w:b/>
          <w:color w:val="C00000"/>
          <w:sz w:val="22"/>
          <w:szCs w:val="22"/>
          <w:lang w:eastAsia="pl-PL"/>
        </w:rPr>
        <w:t>UWAGA!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w:t>
      </w:r>
      <w:r w:rsidR="00742A13">
        <w:rPr>
          <w:rFonts w:cs="Calibri"/>
          <w:b/>
          <w:color w:val="C00000"/>
          <w:sz w:val="22"/>
          <w:szCs w:val="22"/>
          <w:lang w:eastAsia="pl-PL"/>
        </w:rPr>
        <w:t>ozpatrywać niejako obustronnie.</w:t>
      </w:r>
    </w:p>
    <w:p w:rsidR="00AA3AE1" w:rsidRPr="00161C07" w:rsidRDefault="00AA3AE1" w:rsidP="009C281B">
      <w:pPr>
        <w:pStyle w:val="Tekstprzypisukocowego"/>
        <w:jc w:val="both"/>
        <w:rPr>
          <w:rFonts w:cs="Calibri"/>
          <w:sz w:val="22"/>
          <w:szCs w:val="22"/>
        </w:rPr>
      </w:pPr>
      <w:r w:rsidRPr="00161C07">
        <w:rPr>
          <w:rFonts w:cs="Calibri"/>
          <w:sz w:val="22"/>
          <w:szCs w:val="22"/>
        </w:rPr>
        <w:t>Określając powiązania pomiędzy przedsiębiorcami należy zwracać również uwagę na występowanie ewentualnych powiązań przez osoby fizyczne lub grupę osób fizycznych (np. powiązania rodzinne) dotyczących:</w:t>
      </w:r>
    </w:p>
    <w:p w:rsidR="00AA3AE1" w:rsidRPr="00742A13" w:rsidRDefault="00AA3AE1" w:rsidP="009C281B">
      <w:pPr>
        <w:numPr>
          <w:ilvl w:val="0"/>
          <w:numId w:val="6"/>
        </w:numPr>
        <w:spacing w:after="0" w:line="240" w:lineRule="auto"/>
        <w:contextualSpacing/>
        <w:jc w:val="both"/>
      </w:pPr>
      <w:r w:rsidRPr="00742A13">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w:t>
      </w:r>
      <w:r w:rsidR="002D6022">
        <w:t> </w:t>
      </w:r>
      <w:r w:rsidRPr="00742A13">
        <w:t>usługi księgowe, reklamowe, prawnicze, informatyczne, wspólny zakres oferowanych produktów lub usług)</w:t>
      </w:r>
    </w:p>
    <w:p w:rsidR="00AA3AE1" w:rsidRPr="00742A13" w:rsidRDefault="00AA3AE1" w:rsidP="000A3488">
      <w:pPr>
        <w:numPr>
          <w:ilvl w:val="0"/>
          <w:numId w:val="6"/>
        </w:numPr>
        <w:spacing w:after="0" w:line="240" w:lineRule="auto"/>
        <w:contextualSpacing/>
        <w:jc w:val="both"/>
      </w:pPr>
      <w:r w:rsidRPr="00742A13">
        <w:t>powiązań organizacyjnych (np. małżonek/ka prowadzący działalność gospodarczą na tym samym rynku lub rynku pokrewnym).</w:t>
      </w:r>
    </w:p>
    <w:p w:rsidR="00AA3AE1" w:rsidRPr="00161C07" w:rsidRDefault="00AA3AE1" w:rsidP="000A3488">
      <w:pPr>
        <w:pStyle w:val="Tekstprzypisukocowego"/>
        <w:jc w:val="both"/>
        <w:rPr>
          <w:rFonts w:cs="Calibri"/>
          <w:sz w:val="22"/>
          <w:szCs w:val="22"/>
        </w:rPr>
      </w:pPr>
      <w:r w:rsidRPr="00161C07">
        <w:rPr>
          <w:rFonts w:cs="Calibri"/>
          <w:sz w:val="22"/>
          <w:szCs w:val="22"/>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rsidR="002E4371" w:rsidRPr="002E4371" w:rsidRDefault="002E4371" w:rsidP="002E4371">
      <w:pPr>
        <w:pStyle w:val="Tekstprzypisukocowego"/>
        <w:spacing w:before="120" w:after="120"/>
        <w:jc w:val="both"/>
        <w:rPr>
          <w:rFonts w:cs="Calibri"/>
          <w:b/>
          <w:sz w:val="22"/>
          <w:szCs w:val="22"/>
        </w:rPr>
      </w:pPr>
      <w:r w:rsidRPr="001A35E9">
        <w:rPr>
          <w:rFonts w:cs="Calibri"/>
          <w:b/>
          <w:color w:val="C00000"/>
          <w:sz w:val="22"/>
          <w:szCs w:val="22"/>
          <w:lang w:eastAsia="pl-PL"/>
        </w:rPr>
        <w:t>Przedsiębiorstwa nie można uznać za mikro</w:t>
      </w:r>
      <w:r w:rsidR="00704CF2" w:rsidRPr="001A35E9">
        <w:rPr>
          <w:rFonts w:cs="Calibri"/>
          <w:b/>
          <w:color w:val="C00000"/>
          <w:sz w:val="22"/>
          <w:szCs w:val="22"/>
          <w:lang w:eastAsia="pl-PL"/>
        </w:rPr>
        <w:t>-</w:t>
      </w:r>
      <w:r w:rsidRPr="001A35E9">
        <w:rPr>
          <w:rFonts w:cs="Calibri"/>
          <w:b/>
          <w:color w:val="C00000"/>
          <w:sz w:val="22"/>
          <w:szCs w:val="22"/>
          <w:lang w:eastAsia="pl-PL"/>
        </w:rPr>
        <w:t>, małe lub średnie przedsiębiorstwo</w:t>
      </w:r>
      <w:r w:rsidRPr="002E4371">
        <w:rPr>
          <w:rFonts w:cs="Calibri"/>
          <w:b/>
          <w:sz w:val="22"/>
          <w:szCs w:val="22"/>
        </w:rPr>
        <w:t>, jeżeli – zgodnie z art. 3 ust. 4 Rozporządzenia Komisji (UE) nr 651/2014 - 25 % lub więcej kapitału lub praw głosu kontroluje bezpośrednio lub pośrednio, wspólnie lub indywidualnie, co najmniej jeden organ publiczny (ang. public body).</w:t>
      </w:r>
    </w:p>
    <w:p w:rsidR="002E4371" w:rsidRPr="001A35E9" w:rsidRDefault="002E4371" w:rsidP="002E4371">
      <w:pPr>
        <w:spacing w:before="120" w:after="120" w:line="240" w:lineRule="auto"/>
        <w:jc w:val="both"/>
        <w:rPr>
          <w:rFonts w:eastAsia="Calibri" w:cs="Calibri"/>
          <w:b/>
          <w:color w:val="C00000"/>
          <w:lang w:eastAsia="pl-PL"/>
        </w:rPr>
      </w:pPr>
      <w:r w:rsidRPr="001A35E9">
        <w:rPr>
          <w:rFonts w:eastAsia="Calibri" w:cs="Calibri"/>
          <w:b/>
          <w:color w:val="C00000"/>
          <w:lang w:eastAsia="pl-PL"/>
        </w:rPr>
        <w:t>Wielkość zatrudnienia - obliczanie Rocznych Jednostek Pracy (RJP)</w:t>
      </w:r>
    </w:p>
    <w:p w:rsidR="002E4371" w:rsidRPr="009340F6" w:rsidRDefault="002E4371" w:rsidP="009340F6">
      <w:pPr>
        <w:pStyle w:val="NormalnyWeb"/>
        <w:spacing w:before="120" w:after="0" w:afterAutospacing="0" w:line="240" w:lineRule="auto"/>
        <w:jc w:val="both"/>
        <w:rPr>
          <w:rFonts w:ascii="Calibri" w:hAnsi="Calibri"/>
          <w:sz w:val="22"/>
          <w:szCs w:val="22"/>
        </w:rPr>
      </w:pPr>
      <w:r w:rsidRPr="009340F6">
        <w:rPr>
          <w:rFonts w:ascii="Calibri" w:hAnsi="Calibri"/>
          <w:sz w:val="22"/>
          <w:szCs w:val="22"/>
        </w:rPr>
        <w:t xml:space="preserve">Roczne Jednostki </w:t>
      </w:r>
      <w:r w:rsidR="00CA0827" w:rsidRPr="009340F6">
        <w:rPr>
          <w:rFonts w:ascii="Calibri" w:hAnsi="Calibri"/>
          <w:sz w:val="22"/>
          <w:szCs w:val="22"/>
        </w:rPr>
        <w:t xml:space="preserve">Pracy </w:t>
      </w:r>
      <w:r w:rsidRPr="009340F6">
        <w:rPr>
          <w:rFonts w:ascii="Calibri" w:hAnsi="Calibri"/>
          <w:sz w:val="22"/>
          <w:szCs w:val="22"/>
        </w:rPr>
        <w:t xml:space="preserve">(RJP), niezbędne do ustalenia statusu MŚP, należy obliczać zgodnie z zapisami artykułu 5 „Liczba personelu” </w:t>
      </w:r>
      <w:r w:rsidRPr="009340F6">
        <w:rPr>
          <w:rFonts w:ascii="Calibri" w:hAnsi="Calibri" w:cs="Calibri"/>
          <w:b/>
          <w:sz w:val="22"/>
          <w:szCs w:val="22"/>
        </w:rPr>
        <w:t>Załącznik I do rozporządzenia Komisji (UE) nr 651/2014:</w:t>
      </w:r>
    </w:p>
    <w:p w:rsidR="002E4371" w:rsidRPr="009340F6" w:rsidRDefault="002E4371" w:rsidP="009340F6">
      <w:pPr>
        <w:pStyle w:val="NormalnyWeb"/>
        <w:spacing w:before="120" w:after="0" w:afterAutospacing="0" w:line="240" w:lineRule="auto"/>
        <w:jc w:val="both"/>
        <w:rPr>
          <w:rFonts w:ascii="Calibri" w:hAnsi="Calibri" w:cs="EUAlbertina-Regu"/>
          <w:sz w:val="22"/>
          <w:szCs w:val="22"/>
        </w:rPr>
      </w:pPr>
      <w:r w:rsidRPr="009340F6">
        <w:rPr>
          <w:rFonts w:ascii="Calibri" w:hAnsi="Calibri" w:cs="EUAlbertina-Regu"/>
          <w:sz w:val="22"/>
          <w:szCs w:val="22"/>
        </w:rPr>
        <w:t xml:space="preserve">„Liczba personelu odpowiada liczbie rocznych jednostek pracy (RJP), to jest liczbie </w:t>
      </w:r>
      <w:r w:rsidR="00061438" w:rsidRPr="00061438">
        <w:rPr>
          <w:rFonts w:ascii="Calibri" w:hAnsi="Calibri" w:cs="EUAlbertina-Regu"/>
          <w:sz w:val="22"/>
          <w:szCs w:val="22"/>
        </w:rPr>
        <w:t>osób zatrudnionych</w:t>
      </w:r>
      <w:r w:rsidR="00061438" w:rsidRPr="00061438" w:rsidDel="00061438">
        <w:rPr>
          <w:rFonts w:ascii="Calibri" w:hAnsi="Calibri" w:cs="EUAlbertina-Regu"/>
          <w:sz w:val="22"/>
          <w:szCs w:val="22"/>
        </w:rPr>
        <w:t xml:space="preserve"> </w:t>
      </w:r>
      <w:r w:rsidRPr="009340F6">
        <w:rPr>
          <w:rFonts w:ascii="Calibri" w:hAnsi="Calibri" w:cs="EUAlbertina-Regu"/>
          <w:sz w:val="22"/>
          <w:szCs w:val="22"/>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w:t>
      </w:r>
      <w:r w:rsidR="00704CF2" w:rsidRPr="009340F6">
        <w:rPr>
          <w:rFonts w:ascii="Calibri" w:hAnsi="Calibri" w:cs="EUAlbertina-Regu"/>
          <w:sz w:val="22"/>
          <w:szCs w:val="22"/>
        </w:rPr>
        <w:t>iczana jako część ułamkowa RJP.</w:t>
      </w:r>
    </w:p>
    <w:p w:rsidR="00DD3A5C" w:rsidRDefault="00DD3A5C">
      <w:pPr>
        <w:spacing w:after="0" w:line="240" w:lineRule="auto"/>
        <w:rPr>
          <w:rFonts w:eastAsia="Calibri" w:cs="EUAlbertina-Regu"/>
          <w:b/>
          <w:lang w:eastAsia="pl-PL"/>
        </w:rPr>
      </w:pPr>
      <w:r>
        <w:rPr>
          <w:rFonts w:eastAsia="Calibri" w:cs="EUAlbertina-Regu"/>
          <w:b/>
          <w:lang w:eastAsia="pl-PL"/>
        </w:rPr>
        <w:br w:type="page"/>
      </w:r>
    </w:p>
    <w:p w:rsidR="002E4371" w:rsidRPr="002E4371" w:rsidRDefault="002E4371" w:rsidP="002E4371">
      <w:pPr>
        <w:autoSpaceDE w:val="0"/>
        <w:autoSpaceDN w:val="0"/>
        <w:adjustRightInd w:val="0"/>
        <w:spacing w:after="0" w:line="240" w:lineRule="auto"/>
        <w:jc w:val="both"/>
        <w:rPr>
          <w:rFonts w:eastAsia="Calibri" w:cs="EUAlbertina-Regu"/>
          <w:lang w:eastAsia="pl-PL"/>
        </w:rPr>
      </w:pPr>
      <w:r w:rsidRPr="002E4371">
        <w:rPr>
          <w:rFonts w:eastAsia="Calibri" w:cs="EUAlbertina-Regu"/>
          <w:b/>
          <w:lang w:eastAsia="pl-PL"/>
        </w:rPr>
        <w:lastRenderedPageBreak/>
        <w:t>W skład personelu wchodzą</w:t>
      </w:r>
      <w:r w:rsidRPr="002E4371">
        <w:rPr>
          <w:rFonts w:eastAsia="Calibri" w:cs="EUAlbertina-Regu"/>
          <w:lang w:eastAsia="pl-PL"/>
        </w:rPr>
        <w:t>:</w:t>
      </w:r>
    </w:p>
    <w:p w:rsidR="00370C3F" w:rsidRDefault="00704CF2">
      <w:pPr>
        <w:numPr>
          <w:ilvl w:val="0"/>
          <w:numId w:val="7"/>
        </w:numPr>
        <w:autoSpaceDE w:val="0"/>
        <w:autoSpaceDN w:val="0"/>
        <w:adjustRightInd w:val="0"/>
        <w:spacing w:after="0" w:line="240" w:lineRule="auto"/>
        <w:jc w:val="both"/>
        <w:rPr>
          <w:rFonts w:eastAsia="Calibri" w:cs="EUAlbertina-Regu"/>
          <w:lang w:eastAsia="pl-PL"/>
        </w:rPr>
      </w:pPr>
      <w:r>
        <w:rPr>
          <w:rFonts w:eastAsia="Calibri" w:cs="EUAlbertina-Regu"/>
          <w:lang w:eastAsia="pl-PL"/>
        </w:rPr>
        <w:t>pracownicy,</w:t>
      </w:r>
    </w:p>
    <w:p w:rsidR="002E4371" w:rsidRPr="002E4371" w:rsidRDefault="002E4371" w:rsidP="00704CF2">
      <w:pPr>
        <w:numPr>
          <w:ilvl w:val="0"/>
          <w:numId w:val="7"/>
        </w:numPr>
        <w:autoSpaceDE w:val="0"/>
        <w:autoSpaceDN w:val="0"/>
        <w:adjustRightInd w:val="0"/>
        <w:spacing w:after="0" w:line="240" w:lineRule="auto"/>
        <w:jc w:val="both"/>
        <w:rPr>
          <w:rFonts w:eastAsia="Calibri" w:cs="EUAlbertina-Regu"/>
          <w:lang w:eastAsia="pl-PL"/>
        </w:rPr>
      </w:pPr>
      <w:r w:rsidRPr="002E4371">
        <w:rPr>
          <w:rFonts w:eastAsia="Calibri" w:cs="EUAlbertina-Regu"/>
          <w:lang w:eastAsia="pl-PL"/>
        </w:rPr>
        <w:t>osoby pracujące dla przedsiębiorstwa, podlegające mu i uważane za pracowników na mocy prawa krajowego,</w:t>
      </w:r>
    </w:p>
    <w:p w:rsidR="00704CF2" w:rsidRDefault="00704CF2" w:rsidP="00990C6C">
      <w:pPr>
        <w:numPr>
          <w:ilvl w:val="0"/>
          <w:numId w:val="7"/>
        </w:numPr>
        <w:autoSpaceDE w:val="0"/>
        <w:autoSpaceDN w:val="0"/>
        <w:adjustRightInd w:val="0"/>
        <w:spacing w:after="0" w:line="240" w:lineRule="auto"/>
        <w:jc w:val="both"/>
        <w:rPr>
          <w:rFonts w:eastAsia="Calibri" w:cs="EUAlbertina-Regu"/>
          <w:lang w:eastAsia="pl-PL"/>
        </w:rPr>
      </w:pPr>
      <w:r w:rsidRPr="00704CF2">
        <w:rPr>
          <w:rFonts w:eastAsia="Calibri" w:cs="EUAlbertina-Regu"/>
          <w:lang w:eastAsia="pl-PL"/>
        </w:rPr>
        <w:t>właściciele-kierownicy,</w:t>
      </w:r>
    </w:p>
    <w:p w:rsidR="002E4371" w:rsidRDefault="002E4371" w:rsidP="00FA3AE2">
      <w:pPr>
        <w:numPr>
          <w:ilvl w:val="0"/>
          <w:numId w:val="7"/>
        </w:numPr>
        <w:autoSpaceDE w:val="0"/>
        <w:autoSpaceDN w:val="0"/>
        <w:adjustRightInd w:val="0"/>
        <w:spacing w:after="0" w:line="240" w:lineRule="auto"/>
        <w:jc w:val="both"/>
        <w:rPr>
          <w:rFonts w:eastAsia="Calibri" w:cs="EUAlbertina-Regu"/>
          <w:lang w:eastAsia="pl-PL"/>
        </w:rPr>
      </w:pPr>
      <w:r w:rsidRPr="00704CF2">
        <w:rPr>
          <w:rFonts w:eastAsia="Calibri" w:cs="EUAlbertina-Regu"/>
          <w:lang w:eastAsia="pl-PL"/>
        </w:rPr>
        <w:t>partnerzy prowadzący regularną działalność w przedsiębiorstwie i czerpiący z niego korzyści finansowe.</w:t>
      </w:r>
    </w:p>
    <w:p w:rsidR="00370C3F" w:rsidRDefault="00370C3F" w:rsidP="008E738C">
      <w:pPr>
        <w:autoSpaceDE w:val="0"/>
        <w:autoSpaceDN w:val="0"/>
        <w:adjustRightInd w:val="0"/>
        <w:spacing w:after="0" w:line="240" w:lineRule="auto"/>
        <w:jc w:val="both"/>
        <w:rPr>
          <w:rFonts w:eastAsia="Calibri" w:cs="EUAlbertina-Regu"/>
          <w:lang w:eastAsia="pl-PL"/>
        </w:rPr>
      </w:pPr>
    </w:p>
    <w:p w:rsidR="002E4371" w:rsidRPr="002E4371" w:rsidRDefault="002E4371" w:rsidP="002E4371">
      <w:pPr>
        <w:autoSpaceDE w:val="0"/>
        <w:autoSpaceDN w:val="0"/>
        <w:adjustRightInd w:val="0"/>
        <w:spacing w:after="0" w:line="240" w:lineRule="auto"/>
        <w:jc w:val="both"/>
        <w:rPr>
          <w:rFonts w:eastAsia="Calibri" w:cs="EUAlbertina-Regu"/>
          <w:lang w:eastAsia="pl-PL"/>
        </w:rPr>
      </w:pPr>
      <w:r w:rsidRPr="002E4371">
        <w:rPr>
          <w:rFonts w:eastAsia="Calibri" w:cs="EUAlbertina-Regu"/>
          <w:lang w:eastAsia="pl-PL"/>
        </w:rPr>
        <w:t xml:space="preserve">Praktykanci lub studenci odbywający szkolenie zawodowe na podstawie umowy o praktyce lub szkoleniu zawodowym </w:t>
      </w:r>
      <w:r w:rsidRPr="002E4371">
        <w:rPr>
          <w:rFonts w:eastAsia="Calibri" w:cs="EUAlbertina-Regu"/>
          <w:b/>
          <w:u w:val="single"/>
          <w:lang w:eastAsia="pl-PL"/>
        </w:rPr>
        <w:t>nie wchodzą</w:t>
      </w:r>
      <w:r w:rsidRPr="002E4371">
        <w:rPr>
          <w:rFonts w:eastAsia="Calibri" w:cs="EUAlbertina-Regu"/>
          <w:lang w:eastAsia="pl-PL"/>
        </w:rPr>
        <w:t xml:space="preserve"> w skład personelu. </w:t>
      </w:r>
      <w:r w:rsidRPr="002E4371">
        <w:rPr>
          <w:rFonts w:eastAsia="Calibri" w:cs="EUAlbertina-Regu"/>
          <w:b/>
          <w:u w:val="single"/>
          <w:lang w:eastAsia="pl-PL"/>
        </w:rPr>
        <w:t>Nie wlicza się</w:t>
      </w:r>
      <w:r w:rsidRPr="002E4371">
        <w:rPr>
          <w:rFonts w:eastAsia="Calibri" w:cs="EUAlbertina-Regu"/>
          <w:lang w:eastAsia="pl-PL"/>
        </w:rPr>
        <w:t xml:space="preserve"> okresu trwania urlopu macierzyńskiego ani wychowawczego”.</w:t>
      </w:r>
    </w:p>
    <w:p w:rsidR="00061438" w:rsidRDefault="002E4371" w:rsidP="002E4371">
      <w:pPr>
        <w:pStyle w:val="NormalnyWeb"/>
        <w:spacing w:before="120" w:after="120" w:afterAutospacing="0" w:line="240" w:lineRule="auto"/>
        <w:jc w:val="both"/>
        <w:rPr>
          <w:rFonts w:ascii="Calibri" w:hAnsi="Calibri" w:cs="Calibri"/>
          <w:color w:val="000000"/>
          <w:sz w:val="22"/>
          <w:szCs w:val="22"/>
        </w:rPr>
      </w:pPr>
      <w:r w:rsidRPr="002E4371">
        <w:rPr>
          <w:rFonts w:ascii="Calibri" w:hAnsi="Calibri"/>
          <w:sz w:val="22"/>
          <w:szCs w:val="22"/>
        </w:rPr>
        <w:t xml:space="preserve">Zgodnie z powyższym, do RJP należy zaliczyć </w:t>
      </w:r>
      <w:r w:rsidR="00061438" w:rsidRPr="00061438">
        <w:rPr>
          <w:rFonts w:ascii="Calibri" w:hAnsi="Calibri"/>
          <w:sz w:val="22"/>
          <w:szCs w:val="22"/>
        </w:rPr>
        <w:t>wszystkie osoby zatrudnione w przedsiębiorstwie, bez względu na formę prawną zatrudnienia, wymiar etatu i długość okresu zatrudnienia</w:t>
      </w:r>
      <w:r w:rsidRPr="002E4371">
        <w:rPr>
          <w:rFonts w:ascii="Calibri" w:hAnsi="Calibri"/>
          <w:sz w:val="22"/>
          <w:szCs w:val="22"/>
        </w:rPr>
        <w:t xml:space="preserve">. </w:t>
      </w:r>
      <w:r w:rsidR="00061438" w:rsidRPr="00230991">
        <w:rPr>
          <w:rFonts w:ascii="Calibri" w:hAnsi="Calibri" w:cs="Calibri"/>
          <w:color w:val="000000"/>
          <w:sz w:val="22"/>
          <w:szCs w:val="22"/>
        </w:rPr>
        <w:t>1 RJ</w:t>
      </w:r>
      <w:r w:rsidR="00061438">
        <w:rPr>
          <w:rFonts w:ascii="Calibri" w:hAnsi="Calibri" w:cs="Calibri"/>
          <w:color w:val="000000"/>
          <w:sz w:val="22"/>
          <w:szCs w:val="22"/>
        </w:rPr>
        <w:t>P</w:t>
      </w:r>
      <w:r w:rsidR="00061438" w:rsidRPr="00230991">
        <w:rPr>
          <w:rFonts w:ascii="Calibri" w:hAnsi="Calibri" w:cs="Calibri"/>
          <w:color w:val="000000"/>
          <w:sz w:val="22"/>
          <w:szCs w:val="22"/>
        </w:rPr>
        <w:t xml:space="preserve"> to każda osoba, która regularnie, w pełnym wymiarze i w ciągu całego roku referencyjnego wykonuje pracę niezależnie od formy prawnej regulującej zakres jej obowiązków służbowych na rzecz przedsiębiorstwa.</w:t>
      </w:r>
      <w:r w:rsidR="00D71573">
        <w:rPr>
          <w:rFonts w:ascii="Calibri" w:hAnsi="Calibri" w:cs="Calibri"/>
          <w:color w:val="000000"/>
          <w:sz w:val="22"/>
          <w:szCs w:val="22"/>
        </w:rPr>
        <w:t xml:space="preserve"> Również</w:t>
      </w:r>
      <w:r w:rsidR="00D71573" w:rsidRPr="00D71573">
        <w:rPr>
          <w:rFonts w:ascii="Calibri" w:hAnsi="Calibri" w:cs="Calibri"/>
          <w:color w:val="000000"/>
          <w:sz w:val="22"/>
          <w:szCs w:val="22"/>
        </w:rPr>
        <w:t xml:space="preserve"> pracownik tymczasowy – na mocy prawa krajowego – świadczy prace w obrębie przedsiębiorstwa pracodawcy użytkownika, podlega mu i świadczy pracę na rzecz </w:t>
      </w:r>
      <w:r w:rsidR="00D71573">
        <w:rPr>
          <w:rFonts w:ascii="Calibri" w:hAnsi="Calibri" w:cs="Calibri"/>
          <w:color w:val="000000"/>
          <w:sz w:val="22"/>
          <w:szCs w:val="22"/>
        </w:rPr>
        <w:t>przedsiębiorstwa użytkownika</w:t>
      </w:r>
      <w:r w:rsidR="00D71573" w:rsidRPr="00D71573">
        <w:rPr>
          <w:rFonts w:ascii="Calibri" w:hAnsi="Calibri" w:cs="Calibri"/>
          <w:color w:val="000000"/>
          <w:sz w:val="22"/>
          <w:szCs w:val="22"/>
        </w:rPr>
        <w:t>. Tym samym spełnione są warunki do uznania go za członka personelu przedsiębiorstwa pracodawcy użytkownika.</w:t>
      </w:r>
      <w:r w:rsidR="00061438" w:rsidRPr="00230991">
        <w:rPr>
          <w:rFonts w:ascii="Calibri" w:hAnsi="Calibri" w:cs="Calibri"/>
          <w:color w:val="000000"/>
          <w:sz w:val="22"/>
          <w:szCs w:val="22"/>
        </w:rPr>
        <w:t xml:space="preserve"> </w:t>
      </w:r>
      <w:r w:rsidRPr="002E4371">
        <w:rPr>
          <w:rFonts w:ascii="Calibri" w:hAnsi="Calibri"/>
          <w:sz w:val="22"/>
          <w:szCs w:val="22"/>
        </w:rPr>
        <w:t>W przypadku</w:t>
      </w:r>
      <w:r w:rsidR="00C63607">
        <w:rPr>
          <w:rFonts w:ascii="Calibri" w:hAnsi="Calibri"/>
          <w:sz w:val="22"/>
          <w:szCs w:val="22"/>
        </w:rPr>
        <w:t xml:space="preserve"> osób</w:t>
      </w:r>
      <w:r w:rsidRPr="002E4371">
        <w:rPr>
          <w:rFonts w:ascii="Calibri" w:hAnsi="Calibri"/>
          <w:sz w:val="22"/>
          <w:szCs w:val="22"/>
        </w:rPr>
        <w:t>, któr</w:t>
      </w:r>
      <w:r w:rsidR="00C63607">
        <w:rPr>
          <w:rFonts w:ascii="Calibri" w:hAnsi="Calibri"/>
          <w:sz w:val="22"/>
          <w:szCs w:val="22"/>
        </w:rPr>
        <w:t>e</w:t>
      </w:r>
      <w:r w:rsidRPr="002E4371">
        <w:rPr>
          <w:rFonts w:ascii="Calibri" w:hAnsi="Calibri"/>
          <w:sz w:val="22"/>
          <w:szCs w:val="22"/>
        </w:rPr>
        <w:t xml:space="preserve"> nie </w:t>
      </w:r>
      <w:r w:rsidR="00C63607">
        <w:rPr>
          <w:rFonts w:ascii="Calibri" w:hAnsi="Calibri"/>
          <w:sz w:val="22"/>
          <w:szCs w:val="22"/>
        </w:rPr>
        <w:t xml:space="preserve">przepracowały </w:t>
      </w:r>
      <w:r w:rsidRPr="002E4371">
        <w:rPr>
          <w:rFonts w:ascii="Calibri" w:hAnsi="Calibri"/>
          <w:sz w:val="22"/>
          <w:szCs w:val="22"/>
        </w:rPr>
        <w:t>pełnego roku, zosta</w:t>
      </w:r>
      <w:r w:rsidR="00C63607">
        <w:rPr>
          <w:rFonts w:ascii="Calibri" w:hAnsi="Calibri"/>
          <w:sz w:val="22"/>
          <w:szCs w:val="22"/>
        </w:rPr>
        <w:t>ły</w:t>
      </w:r>
      <w:r w:rsidRPr="002E4371">
        <w:rPr>
          <w:rFonts w:ascii="Calibri" w:hAnsi="Calibri"/>
          <w:sz w:val="22"/>
          <w:szCs w:val="22"/>
        </w:rPr>
        <w:t xml:space="preserve"> zatrudni</w:t>
      </w:r>
      <w:r w:rsidR="00C63607">
        <w:rPr>
          <w:rFonts w:ascii="Calibri" w:hAnsi="Calibri"/>
          <w:sz w:val="22"/>
          <w:szCs w:val="22"/>
        </w:rPr>
        <w:t>one</w:t>
      </w:r>
      <w:r w:rsidRPr="002E4371">
        <w:rPr>
          <w:rFonts w:ascii="Calibri" w:hAnsi="Calibri"/>
          <w:sz w:val="22"/>
          <w:szCs w:val="22"/>
        </w:rPr>
        <w:t xml:space="preserve"> w trakcie roku lub by</w:t>
      </w:r>
      <w:r w:rsidR="00C63607">
        <w:rPr>
          <w:rFonts w:ascii="Calibri" w:hAnsi="Calibri"/>
          <w:sz w:val="22"/>
          <w:szCs w:val="22"/>
        </w:rPr>
        <w:t>ły</w:t>
      </w:r>
      <w:r w:rsidRPr="002E4371">
        <w:rPr>
          <w:rFonts w:ascii="Calibri" w:hAnsi="Calibri"/>
          <w:sz w:val="22"/>
          <w:szCs w:val="22"/>
        </w:rPr>
        <w:t xml:space="preserve"> zatrudni</w:t>
      </w:r>
      <w:r w:rsidR="00C63607">
        <w:rPr>
          <w:rFonts w:ascii="Calibri" w:hAnsi="Calibri"/>
          <w:sz w:val="22"/>
          <w:szCs w:val="22"/>
        </w:rPr>
        <w:t>one</w:t>
      </w:r>
      <w:r w:rsidRPr="002E4371">
        <w:rPr>
          <w:rFonts w:ascii="Calibri" w:hAnsi="Calibri"/>
          <w:sz w:val="22"/>
          <w:szCs w:val="22"/>
        </w:rPr>
        <w:t xml:space="preserve"> sezonowo, należy policzyć jaką część ułamkową RJP stanowił ich czas zatrudnienia w przedsiębiorstwie. </w:t>
      </w:r>
      <w:r w:rsidR="00061438">
        <w:rPr>
          <w:rFonts w:ascii="Calibri" w:hAnsi="Calibri"/>
          <w:sz w:val="22"/>
          <w:szCs w:val="22"/>
        </w:rPr>
        <w:t>W</w:t>
      </w:r>
      <w:r w:rsidR="00061438" w:rsidRPr="00230991">
        <w:rPr>
          <w:rFonts w:ascii="Calibri" w:hAnsi="Calibri" w:cs="Calibri"/>
          <w:color w:val="000000"/>
          <w:sz w:val="22"/>
          <w:szCs w:val="22"/>
        </w:rPr>
        <w:t>artość RJ</w:t>
      </w:r>
      <w:r w:rsidR="00061438">
        <w:rPr>
          <w:rFonts w:ascii="Calibri" w:hAnsi="Calibri" w:cs="Calibri"/>
          <w:color w:val="000000"/>
          <w:sz w:val="22"/>
          <w:szCs w:val="22"/>
        </w:rPr>
        <w:t>P</w:t>
      </w:r>
      <w:r w:rsidR="00061438" w:rsidRPr="00230991">
        <w:rPr>
          <w:rFonts w:ascii="Calibri" w:hAnsi="Calibri" w:cs="Calibri"/>
          <w:color w:val="000000"/>
          <w:sz w:val="22"/>
          <w:szCs w:val="22"/>
        </w:rPr>
        <w:t xml:space="preserve"> obliczana jest jako ułamek czasu ich pracy odniesiony do czasu poświęconego na wzorcową RJ</w:t>
      </w:r>
      <w:r w:rsidR="00061438">
        <w:rPr>
          <w:rFonts w:ascii="Calibri" w:hAnsi="Calibri" w:cs="Calibri"/>
          <w:color w:val="000000"/>
          <w:sz w:val="22"/>
          <w:szCs w:val="22"/>
        </w:rPr>
        <w:t>P</w:t>
      </w:r>
      <w:r w:rsidR="00061438" w:rsidRPr="00230991">
        <w:rPr>
          <w:rFonts w:ascii="Calibri" w:hAnsi="Calibri" w:cs="Calibri"/>
          <w:color w:val="000000"/>
          <w:sz w:val="22"/>
          <w:szCs w:val="22"/>
        </w:rPr>
        <w:t xml:space="preserve"> (40 godzin tygodniowo). Natomiast w przypadku osób, których czas pracy nie został unormowany, należy wziąć pod uwagę rzeczywisty czas wykonywania obowiązków służbowych do pojedynczej RJ</w:t>
      </w:r>
      <w:r w:rsidR="00061438">
        <w:rPr>
          <w:rFonts w:ascii="Calibri" w:hAnsi="Calibri" w:cs="Calibri"/>
          <w:color w:val="000000"/>
          <w:sz w:val="22"/>
          <w:szCs w:val="22"/>
        </w:rPr>
        <w:t>P</w:t>
      </w:r>
      <w:r w:rsidR="00061438" w:rsidRPr="00230991">
        <w:rPr>
          <w:rFonts w:ascii="Calibri" w:hAnsi="Calibri" w:cs="Calibri"/>
          <w:color w:val="000000"/>
          <w:sz w:val="22"/>
          <w:szCs w:val="22"/>
        </w:rPr>
        <w:t>.</w:t>
      </w:r>
    </w:p>
    <w:p w:rsidR="00061438" w:rsidRPr="002E4371" w:rsidRDefault="00061438" w:rsidP="001A35E9">
      <w:pPr>
        <w:pStyle w:val="NormalnyWeb"/>
        <w:spacing w:after="0" w:afterAutospacing="0" w:line="240" w:lineRule="auto"/>
        <w:jc w:val="both"/>
        <w:rPr>
          <w:rFonts w:ascii="Calibri" w:hAnsi="Calibri"/>
          <w:sz w:val="22"/>
          <w:szCs w:val="22"/>
        </w:rPr>
      </w:pPr>
      <w:r w:rsidRPr="002E4371">
        <w:rPr>
          <w:rStyle w:val="Pogrubienie"/>
          <w:rFonts w:ascii="Calibri" w:hAnsi="Calibri"/>
          <w:sz w:val="22"/>
          <w:szCs w:val="22"/>
        </w:rPr>
        <w:t>Przykład:</w:t>
      </w:r>
    </w:p>
    <w:p w:rsidR="002E4371" w:rsidRDefault="00061438" w:rsidP="001A35E9">
      <w:pPr>
        <w:pStyle w:val="NormalnyWeb"/>
        <w:spacing w:after="0" w:afterAutospacing="0" w:line="240" w:lineRule="auto"/>
        <w:jc w:val="both"/>
        <w:rPr>
          <w:rFonts w:ascii="Calibri" w:hAnsi="Calibri"/>
          <w:sz w:val="22"/>
          <w:szCs w:val="22"/>
        </w:rPr>
      </w:pPr>
      <w:r>
        <w:rPr>
          <w:rFonts w:ascii="Calibri" w:hAnsi="Calibri"/>
          <w:sz w:val="22"/>
          <w:szCs w:val="22"/>
        </w:rPr>
        <w:t>D</w:t>
      </w:r>
      <w:r w:rsidRPr="002E4371">
        <w:rPr>
          <w:rFonts w:ascii="Calibri" w:hAnsi="Calibri"/>
          <w:sz w:val="22"/>
          <w:szCs w:val="22"/>
        </w:rPr>
        <w:t xml:space="preserve">la </w:t>
      </w:r>
      <w:r w:rsidR="002E4371" w:rsidRPr="002E4371">
        <w:rPr>
          <w:rFonts w:ascii="Calibri" w:hAnsi="Calibri"/>
          <w:sz w:val="22"/>
          <w:szCs w:val="22"/>
        </w:rPr>
        <w:t xml:space="preserve">pracownika zatrudnionego w danym roku przez 8 miesięcy na pełnym etacie, wartość </w:t>
      </w:r>
      <w:r>
        <w:rPr>
          <w:rFonts w:ascii="Calibri" w:hAnsi="Calibri"/>
          <w:sz w:val="22"/>
          <w:szCs w:val="22"/>
        </w:rPr>
        <w:t>RJP</w:t>
      </w:r>
      <w:r w:rsidRPr="002E4371">
        <w:rPr>
          <w:rFonts w:ascii="Calibri" w:hAnsi="Calibri"/>
          <w:sz w:val="22"/>
          <w:szCs w:val="22"/>
        </w:rPr>
        <w:t xml:space="preserve"> </w:t>
      </w:r>
      <w:r w:rsidR="002E4371" w:rsidRPr="002E4371">
        <w:rPr>
          <w:rFonts w:ascii="Calibri" w:hAnsi="Calibri"/>
          <w:sz w:val="22"/>
          <w:szCs w:val="22"/>
        </w:rPr>
        <w:t>wynosiłaby 8/12. W</w:t>
      </w:r>
      <w:r w:rsidR="001A35E9">
        <w:rPr>
          <w:rFonts w:ascii="Calibri" w:hAnsi="Calibri"/>
          <w:sz w:val="22"/>
          <w:szCs w:val="22"/>
        </w:rPr>
        <w:t> </w:t>
      </w:r>
      <w:r w:rsidR="002E4371" w:rsidRPr="002E4371">
        <w:rPr>
          <w:rFonts w:ascii="Calibri" w:hAnsi="Calibri"/>
          <w:sz w:val="22"/>
          <w:szCs w:val="22"/>
        </w:rPr>
        <w:t>przypadku zatrudnienia np. 2</w:t>
      </w:r>
      <w:r w:rsidR="001A35E9">
        <w:rPr>
          <w:rFonts w:ascii="Calibri" w:hAnsi="Calibri"/>
          <w:sz w:val="22"/>
          <w:szCs w:val="22"/>
        </w:rPr>
        <w:t xml:space="preserve"> </w:t>
      </w:r>
      <w:r w:rsidR="002E4371" w:rsidRPr="002E4371">
        <w:rPr>
          <w:rFonts w:ascii="Calibri" w:hAnsi="Calibri"/>
          <w:sz w:val="22"/>
          <w:szCs w:val="22"/>
        </w:rPr>
        <w:t>pracowników na pełnych etatach przez 8 miesięcy, odpowiednio wylicza się tę wartość, tj. 2 x 8/12. Każdą taką wielkość wyliczoną dla danego roku należy zsumować, aby otrzymać pełną wartość RJP.</w:t>
      </w:r>
    </w:p>
    <w:p w:rsidR="001A35E9" w:rsidRDefault="001A35E9" w:rsidP="001A35E9">
      <w:pPr>
        <w:pStyle w:val="NormalnyWeb"/>
        <w:spacing w:after="0" w:afterAutospacing="0" w:line="240" w:lineRule="auto"/>
        <w:jc w:val="both"/>
        <w:rPr>
          <w:rFonts w:ascii="Calibri" w:hAnsi="Calibri"/>
          <w:sz w:val="22"/>
          <w:szCs w:val="22"/>
        </w:rPr>
      </w:pPr>
    </w:p>
    <w:p w:rsidR="00370C3F" w:rsidRDefault="00061438" w:rsidP="001A35E9">
      <w:pPr>
        <w:pStyle w:val="NormalnyWeb"/>
        <w:spacing w:after="0" w:afterAutospacing="0" w:line="240" w:lineRule="auto"/>
        <w:jc w:val="both"/>
        <w:rPr>
          <w:rFonts w:ascii="Calibri" w:hAnsi="Calibri"/>
          <w:b/>
          <w:sz w:val="22"/>
          <w:szCs w:val="22"/>
        </w:rPr>
      </w:pPr>
      <w:r w:rsidRPr="001A35E9">
        <w:rPr>
          <w:rFonts w:ascii="Calibri" w:eastAsia="Times New Roman" w:hAnsi="Calibri"/>
          <w:b/>
          <w:color w:val="C00000"/>
          <w:sz w:val="22"/>
          <w:szCs w:val="22"/>
          <w:lang w:eastAsia="en-US"/>
        </w:rPr>
        <w:t>UWAGA:</w:t>
      </w:r>
      <w:r w:rsidR="001A35E9">
        <w:rPr>
          <w:rFonts w:ascii="Calibri" w:eastAsia="Times New Roman" w:hAnsi="Calibri"/>
          <w:b/>
          <w:color w:val="C00000"/>
          <w:sz w:val="22"/>
          <w:szCs w:val="22"/>
          <w:lang w:eastAsia="en-US"/>
        </w:rPr>
        <w:t xml:space="preserve"> </w:t>
      </w:r>
      <w:r w:rsidR="009B49C2" w:rsidRPr="001A35E9">
        <w:rPr>
          <w:rFonts w:ascii="Calibri" w:eastAsia="Times New Roman" w:hAnsi="Calibri"/>
          <w:b/>
          <w:color w:val="C00000"/>
          <w:sz w:val="22"/>
          <w:szCs w:val="22"/>
          <w:lang w:eastAsia="en-US"/>
        </w:rPr>
        <w:t>Osoby zatrudnione na podstawie umowy cywilnoprawnej mogą być kwalifikowane jako osoby pracujące dla przedsiębiorstwa, podlegające mu i uważane za pracowników na mocy prawa krajowego.</w:t>
      </w:r>
    </w:p>
    <w:p w:rsidR="00DD3A5C" w:rsidRPr="00DD3A5C" w:rsidRDefault="00DD3A5C" w:rsidP="00DD3A5C">
      <w:pPr>
        <w:pStyle w:val="NormalnyWeb"/>
        <w:spacing w:before="120" w:after="120" w:line="240" w:lineRule="auto"/>
        <w:jc w:val="both"/>
        <w:rPr>
          <w:rFonts w:ascii="Calibri" w:hAnsi="Calibri"/>
          <w:sz w:val="22"/>
          <w:szCs w:val="22"/>
        </w:rPr>
      </w:pPr>
      <w:r w:rsidRPr="00DD3A5C">
        <w:rPr>
          <w:rFonts w:ascii="Calibri" w:hAnsi="Calibri"/>
          <w:sz w:val="22"/>
          <w:szCs w:val="22"/>
        </w:rPr>
        <w:t>Odnośna definicja jest kopią przepisu art. 5 lit. b załącznika I do rozporządzenia Komisji (UE) nr 651/2014 z dnia 17 czerwca 2014 r. uznającego niektóre rodzaje pomocy za zgodne z rynkiem wewnętrznym w zastosowaniu art. 107 i 108 Traktatu, zgodnie z którym personelem przedsiębiorstwa są „osoby pracujące dla przedsiębiorstwa, podlegające mu i uważane za pracowników na mocy prawa krajowego”.</w:t>
      </w:r>
    </w:p>
    <w:p w:rsidR="00DD3A5C" w:rsidRPr="00DD3A5C" w:rsidRDefault="00DD3A5C" w:rsidP="00DD3A5C">
      <w:pPr>
        <w:pStyle w:val="NormalnyWeb"/>
        <w:spacing w:before="120" w:after="120" w:line="240" w:lineRule="auto"/>
        <w:jc w:val="both"/>
        <w:rPr>
          <w:rFonts w:ascii="Calibri" w:hAnsi="Calibri"/>
          <w:sz w:val="22"/>
          <w:szCs w:val="22"/>
        </w:rPr>
      </w:pPr>
      <w:r w:rsidRPr="00DD3A5C">
        <w:rPr>
          <w:rFonts w:ascii="Calibri" w:hAnsi="Calibri"/>
          <w:sz w:val="22"/>
          <w:szCs w:val="22"/>
        </w:rPr>
        <w:t xml:space="preserve">Z powyższego przepisu można wyciągnąć wniosek, że </w:t>
      </w:r>
      <w:r w:rsidR="009B49C2" w:rsidRPr="009B49C2">
        <w:rPr>
          <w:rFonts w:ascii="Calibri" w:hAnsi="Calibri"/>
          <w:b/>
          <w:sz w:val="22"/>
          <w:szCs w:val="22"/>
        </w:rPr>
        <w:t>rozporządzenie 651/2014 – stanowiąc o tym, że osoby pracujące dla przedsiębiorstwa powinny być uważane za pracowników na mocy prawa krajowego – wskazuje na pewne podobieństwo do stosunku pracy.</w:t>
      </w:r>
      <w:r w:rsidRPr="00DD3A5C">
        <w:rPr>
          <w:rFonts w:ascii="Calibri" w:hAnsi="Calibri"/>
          <w:sz w:val="22"/>
          <w:szCs w:val="22"/>
        </w:rPr>
        <w:t xml:space="preserve"> Daje to podstawy do dokonywania oceny stosunku powstałego poprzez nawiązanie umowy cywilnoprawnej. Celem tej oceny jest ustalenie czy praca wykonywana na takiej podstawie wykazuje podobieństwo do pracy świadczonej na podstawie stosunku pracy. </w:t>
      </w:r>
      <w:r w:rsidR="009B49C2" w:rsidRPr="009B49C2">
        <w:rPr>
          <w:rFonts w:ascii="Calibri" w:hAnsi="Calibri"/>
          <w:b/>
          <w:sz w:val="22"/>
          <w:szCs w:val="22"/>
        </w:rPr>
        <w:t>Istotne jest to, czy dana osoba wpływa na potencjał kadrowy danego przedsiębiorcy. Inaczej należy ocenić sytuację, w której zleceniobiorca wykonuje czynności określone w umowie w sposób regularny od sytuacji, w której wykonuje je w sposób incydentalny.</w:t>
      </w:r>
    </w:p>
    <w:p w:rsidR="004B6496" w:rsidRPr="002E4371" w:rsidRDefault="004B6496" w:rsidP="001A35E9">
      <w:pPr>
        <w:pStyle w:val="NormalnyWeb"/>
        <w:spacing w:after="0" w:afterAutospacing="0" w:line="240" w:lineRule="auto"/>
        <w:jc w:val="both"/>
        <w:rPr>
          <w:rFonts w:ascii="Calibri" w:hAnsi="Calibri"/>
          <w:sz w:val="22"/>
          <w:szCs w:val="22"/>
        </w:rPr>
      </w:pPr>
      <w:r w:rsidRPr="002E4371">
        <w:rPr>
          <w:rStyle w:val="Pogrubienie"/>
          <w:rFonts w:ascii="Calibri" w:hAnsi="Calibri"/>
          <w:sz w:val="22"/>
          <w:szCs w:val="22"/>
        </w:rPr>
        <w:t>Przykład:</w:t>
      </w:r>
    </w:p>
    <w:p w:rsidR="00DD3A5C" w:rsidRPr="00DD3A5C" w:rsidRDefault="004B6496" w:rsidP="001A35E9">
      <w:pPr>
        <w:pStyle w:val="NormalnyWeb"/>
        <w:spacing w:after="0" w:afterAutospacing="0" w:line="240" w:lineRule="auto"/>
        <w:jc w:val="both"/>
        <w:rPr>
          <w:rFonts w:ascii="Calibri" w:hAnsi="Calibri"/>
          <w:sz w:val="22"/>
          <w:szCs w:val="22"/>
        </w:rPr>
      </w:pPr>
      <w:r>
        <w:rPr>
          <w:rFonts w:ascii="Calibri" w:hAnsi="Calibri"/>
          <w:sz w:val="22"/>
          <w:szCs w:val="22"/>
        </w:rPr>
        <w:t>W</w:t>
      </w:r>
      <w:r w:rsidR="00DD3A5C" w:rsidRPr="00DD3A5C">
        <w:rPr>
          <w:rFonts w:ascii="Calibri" w:hAnsi="Calibri"/>
          <w:sz w:val="22"/>
          <w:szCs w:val="22"/>
        </w:rPr>
        <w:t xml:space="preserve">ielkość zatrudnienia </w:t>
      </w:r>
      <w:r w:rsidR="001A35E9" w:rsidRPr="00DD3A5C">
        <w:rPr>
          <w:rFonts w:ascii="Calibri" w:hAnsi="Calibri"/>
          <w:sz w:val="22"/>
          <w:szCs w:val="22"/>
        </w:rPr>
        <w:t>przedsiębiorstwa,</w:t>
      </w:r>
      <w:r w:rsidR="00DD3A5C" w:rsidRPr="00DD3A5C">
        <w:rPr>
          <w:rFonts w:ascii="Calibri" w:hAnsi="Calibri"/>
          <w:sz w:val="22"/>
          <w:szCs w:val="22"/>
        </w:rPr>
        <w:t xml:space="preserve"> które zatrudnia przez cały rok 2 osoby na umowę o pracę na pełny etat, 1</w:t>
      </w:r>
      <w:r w:rsidR="001A35E9">
        <w:rPr>
          <w:rFonts w:ascii="Calibri" w:hAnsi="Calibri"/>
          <w:sz w:val="22"/>
          <w:szCs w:val="22"/>
        </w:rPr>
        <w:t> </w:t>
      </w:r>
      <w:r w:rsidR="00DD3A5C" w:rsidRPr="00DD3A5C">
        <w:rPr>
          <w:rFonts w:ascii="Calibri" w:hAnsi="Calibri"/>
          <w:sz w:val="22"/>
          <w:szCs w:val="22"/>
        </w:rPr>
        <w:t>osobę na umowę o pracę na 1/2 etatu oraz 7 osób na umowy cywilnoprawne</w:t>
      </w:r>
      <w:r w:rsidR="001A35E9">
        <w:rPr>
          <w:rFonts w:ascii="Calibri" w:hAnsi="Calibri"/>
          <w:sz w:val="22"/>
          <w:szCs w:val="22"/>
        </w:rPr>
        <w:t>,</w:t>
      </w:r>
      <w:r w:rsidR="00DD3A5C" w:rsidRPr="00DD3A5C">
        <w:rPr>
          <w:rFonts w:ascii="Calibri" w:hAnsi="Calibri"/>
          <w:sz w:val="22"/>
          <w:szCs w:val="22"/>
        </w:rPr>
        <w:t xml:space="preserve"> np. umowy zlecenia, wynosi 2,5</w:t>
      </w:r>
      <w:r w:rsidR="00625D21">
        <w:rPr>
          <w:rFonts w:ascii="Calibri" w:hAnsi="Calibri"/>
          <w:sz w:val="22"/>
          <w:szCs w:val="22"/>
        </w:rPr>
        <w:t> </w:t>
      </w:r>
      <w:r w:rsidR="00DD3A5C" w:rsidRPr="00DD3A5C">
        <w:rPr>
          <w:rFonts w:ascii="Calibri" w:hAnsi="Calibri"/>
          <w:sz w:val="22"/>
          <w:szCs w:val="22"/>
        </w:rPr>
        <w:t>plus liczba osób na umowę zlecenie, które wykonywały czynności określone w umowie cywilnoprawnej w</w:t>
      </w:r>
      <w:r w:rsidR="00625D21">
        <w:rPr>
          <w:rFonts w:ascii="Calibri" w:hAnsi="Calibri"/>
          <w:sz w:val="22"/>
          <w:szCs w:val="22"/>
        </w:rPr>
        <w:t> </w:t>
      </w:r>
      <w:r w:rsidR="00DD3A5C" w:rsidRPr="00DD3A5C">
        <w:rPr>
          <w:rFonts w:ascii="Calibri" w:hAnsi="Calibri"/>
          <w:sz w:val="22"/>
          <w:szCs w:val="22"/>
        </w:rPr>
        <w:t>sposób regularny.</w:t>
      </w:r>
      <w:r>
        <w:rPr>
          <w:rFonts w:ascii="Calibri" w:hAnsi="Calibri"/>
          <w:sz w:val="22"/>
          <w:szCs w:val="22"/>
        </w:rPr>
        <w:t xml:space="preserve"> </w:t>
      </w:r>
      <w:r w:rsidR="00DD3A5C" w:rsidRPr="00DD3A5C">
        <w:rPr>
          <w:rFonts w:ascii="Calibri" w:hAnsi="Calibri"/>
          <w:sz w:val="22"/>
          <w:szCs w:val="22"/>
        </w:rPr>
        <w:t>Przykładowo, jeżeli każda z tych 7 osób wykonyw</w:t>
      </w:r>
      <w:r w:rsidR="00DD3A5C">
        <w:rPr>
          <w:rFonts w:ascii="Calibri" w:hAnsi="Calibri"/>
          <w:sz w:val="22"/>
          <w:szCs w:val="22"/>
        </w:rPr>
        <w:t>ała czynności regularnie</w:t>
      </w:r>
      <w:r w:rsidR="001A35E9">
        <w:rPr>
          <w:rFonts w:ascii="Calibri" w:hAnsi="Calibri"/>
          <w:sz w:val="22"/>
          <w:szCs w:val="22"/>
        </w:rPr>
        <w:t>,</w:t>
      </w:r>
      <w:r w:rsidR="00DD3A5C">
        <w:rPr>
          <w:rFonts w:ascii="Calibri" w:hAnsi="Calibri"/>
          <w:sz w:val="22"/>
          <w:szCs w:val="22"/>
        </w:rPr>
        <w:t xml:space="preserve"> przez </w:t>
      </w:r>
      <w:r w:rsidR="00DD3A5C" w:rsidRPr="00DD3A5C">
        <w:rPr>
          <w:rFonts w:ascii="Calibri" w:hAnsi="Calibri"/>
          <w:sz w:val="22"/>
          <w:szCs w:val="22"/>
        </w:rPr>
        <w:t>np. 10 godzin tygodniowo, można to odnieść do 1/4 etatu. Wówczas otrzymuje się wynik 1 i 3/4 etatu, który po zsumowaniu z</w:t>
      </w:r>
      <w:r w:rsidR="001A35E9">
        <w:rPr>
          <w:rFonts w:ascii="Calibri" w:hAnsi="Calibri"/>
          <w:sz w:val="22"/>
          <w:szCs w:val="22"/>
        </w:rPr>
        <w:t> </w:t>
      </w:r>
      <w:r w:rsidR="00DD3A5C" w:rsidRPr="00DD3A5C">
        <w:rPr>
          <w:rFonts w:ascii="Calibri" w:hAnsi="Calibri"/>
          <w:sz w:val="22"/>
          <w:szCs w:val="22"/>
        </w:rPr>
        <w:t xml:space="preserve">etatami na umowę o pracę daje </w:t>
      </w:r>
      <w:r w:rsidR="00DD3A5C">
        <w:rPr>
          <w:rFonts w:ascii="Calibri" w:hAnsi="Calibri"/>
          <w:sz w:val="22"/>
          <w:szCs w:val="22"/>
        </w:rPr>
        <w:t>4 i 1/4 etatu, a więc 4,25 RJP.</w:t>
      </w:r>
    </w:p>
    <w:p w:rsidR="00DD3A5C" w:rsidRPr="004B6496" w:rsidRDefault="009B49C2" w:rsidP="00DD3A5C">
      <w:pPr>
        <w:pStyle w:val="NormalnyWeb"/>
        <w:spacing w:before="120" w:after="120" w:line="240" w:lineRule="auto"/>
        <w:jc w:val="both"/>
        <w:rPr>
          <w:rFonts w:ascii="Calibri" w:hAnsi="Calibri"/>
          <w:b/>
          <w:sz w:val="22"/>
          <w:szCs w:val="22"/>
        </w:rPr>
      </w:pPr>
      <w:r w:rsidRPr="009B49C2">
        <w:rPr>
          <w:rFonts w:ascii="Calibri" w:hAnsi="Calibri"/>
          <w:b/>
          <w:sz w:val="22"/>
          <w:szCs w:val="22"/>
        </w:rPr>
        <w:lastRenderedPageBreak/>
        <w:t>Przedsiębiorca określa – na podstawie treści umów cywilnoprawnych – kto z personelu wykonuje czynności w</w:t>
      </w:r>
      <w:r w:rsidR="008E738C">
        <w:rPr>
          <w:rFonts w:ascii="Calibri" w:hAnsi="Calibri"/>
          <w:b/>
          <w:sz w:val="22"/>
          <w:szCs w:val="22"/>
        </w:rPr>
        <w:t> </w:t>
      </w:r>
      <w:r w:rsidRPr="009B49C2">
        <w:rPr>
          <w:rFonts w:ascii="Calibri" w:hAnsi="Calibri"/>
          <w:b/>
          <w:sz w:val="22"/>
          <w:szCs w:val="22"/>
        </w:rPr>
        <w:t>sposób regularny.</w:t>
      </w:r>
      <w:r w:rsidR="004B6496">
        <w:rPr>
          <w:rFonts w:ascii="Calibri" w:hAnsi="Calibri"/>
          <w:b/>
          <w:sz w:val="22"/>
          <w:szCs w:val="22"/>
        </w:rPr>
        <w:t xml:space="preserve"> </w:t>
      </w:r>
      <w:r w:rsidR="00DD3A5C" w:rsidRPr="00DD3A5C">
        <w:rPr>
          <w:rFonts w:ascii="Calibri" w:hAnsi="Calibri"/>
          <w:sz w:val="22"/>
          <w:szCs w:val="22"/>
        </w:rPr>
        <w:t>W przypadku wątpliwości należy kontaktować się</w:t>
      </w:r>
      <w:r w:rsidR="00DD3A5C">
        <w:rPr>
          <w:rFonts w:ascii="Calibri" w:hAnsi="Calibri"/>
          <w:sz w:val="22"/>
          <w:szCs w:val="22"/>
        </w:rPr>
        <w:t xml:space="preserve"> z Urzędem Ochrony Konkurencji </w:t>
      </w:r>
      <w:r w:rsidR="00DD3A5C" w:rsidRPr="00DD3A5C">
        <w:rPr>
          <w:rFonts w:ascii="Calibri" w:hAnsi="Calibri"/>
          <w:sz w:val="22"/>
          <w:szCs w:val="22"/>
        </w:rPr>
        <w:t>i</w:t>
      </w:r>
      <w:r w:rsidR="008E738C">
        <w:rPr>
          <w:rFonts w:ascii="Calibri" w:hAnsi="Calibri"/>
          <w:sz w:val="22"/>
          <w:szCs w:val="22"/>
        </w:rPr>
        <w:t> </w:t>
      </w:r>
      <w:r w:rsidR="00DD3A5C" w:rsidRPr="00DD3A5C">
        <w:rPr>
          <w:rFonts w:ascii="Calibri" w:hAnsi="Calibri"/>
          <w:sz w:val="22"/>
          <w:szCs w:val="22"/>
        </w:rPr>
        <w:t>Konsumentów</w:t>
      </w:r>
      <w:r w:rsidR="008E738C">
        <w:rPr>
          <w:rFonts w:ascii="Calibri" w:hAnsi="Calibri"/>
          <w:sz w:val="22"/>
          <w:szCs w:val="22"/>
        </w:rPr>
        <w:t>.</w:t>
      </w:r>
    </w:p>
    <w:p w:rsidR="002E4371" w:rsidRPr="002E4371" w:rsidRDefault="002E4371" w:rsidP="002E4371">
      <w:pPr>
        <w:pStyle w:val="NormalnyWeb"/>
        <w:spacing w:before="120" w:after="120" w:afterAutospacing="0" w:line="240" w:lineRule="auto"/>
        <w:jc w:val="both"/>
        <w:rPr>
          <w:rFonts w:ascii="Calibri" w:hAnsi="Calibri"/>
          <w:sz w:val="22"/>
          <w:szCs w:val="22"/>
        </w:rPr>
      </w:pPr>
      <w:r w:rsidRPr="002E4371">
        <w:rPr>
          <w:rFonts w:ascii="Calibri" w:hAnsi="Calibri"/>
          <w:sz w:val="22"/>
          <w:szCs w:val="22"/>
        </w:rPr>
        <w:t xml:space="preserve">W sytuacji, kiedy podmiot znajduje się „na granicy” statutu mikro-, małego lub średniego przedsiębiorstwa konieczne jest bardzo dokładne obliczenie ułamkowych części RJP. Wówczas obliczeń należy dokonać następująco: </w:t>
      </w:r>
      <w:r w:rsidRPr="002E4371">
        <w:rPr>
          <w:rStyle w:val="Uwydatnienie"/>
          <w:rFonts w:ascii="Calibri" w:hAnsi="Calibri"/>
          <w:sz w:val="22"/>
          <w:szCs w:val="22"/>
        </w:rPr>
        <w:t>liczba dni zatrudnienia począwszy od pierwszego dnia rozpoczęcia pracy do dnia zakończenia pracy w danym roku/ liczba dni w roku * wymiar etatu.</w:t>
      </w:r>
    </w:p>
    <w:p w:rsidR="002E4371" w:rsidRPr="002E4371" w:rsidRDefault="002E4371" w:rsidP="002E4371">
      <w:pPr>
        <w:pStyle w:val="NormalnyWeb"/>
        <w:spacing w:before="120" w:after="0" w:afterAutospacing="0" w:line="240" w:lineRule="auto"/>
        <w:jc w:val="both"/>
        <w:rPr>
          <w:rFonts w:ascii="Calibri" w:hAnsi="Calibri"/>
          <w:sz w:val="22"/>
          <w:szCs w:val="22"/>
        </w:rPr>
      </w:pPr>
      <w:r w:rsidRPr="002E4371">
        <w:rPr>
          <w:rStyle w:val="Pogrubienie"/>
          <w:rFonts w:ascii="Calibri" w:hAnsi="Calibri"/>
          <w:sz w:val="22"/>
          <w:szCs w:val="22"/>
        </w:rPr>
        <w:t>Przykład:</w:t>
      </w:r>
    </w:p>
    <w:p w:rsidR="002E4371" w:rsidRPr="002E4371" w:rsidRDefault="002E4371" w:rsidP="002E4371">
      <w:pPr>
        <w:pStyle w:val="NormalnyWeb"/>
        <w:spacing w:after="0" w:afterAutospacing="0" w:line="240" w:lineRule="auto"/>
        <w:jc w:val="both"/>
        <w:rPr>
          <w:rFonts w:ascii="Calibri" w:hAnsi="Calibri"/>
          <w:sz w:val="22"/>
          <w:szCs w:val="22"/>
        </w:rPr>
      </w:pPr>
      <w:r w:rsidRPr="002E4371">
        <w:rPr>
          <w:rFonts w:ascii="Calibri" w:hAnsi="Calibri"/>
          <w:sz w:val="22"/>
          <w:szCs w:val="22"/>
        </w:rPr>
        <w:t>Firma zatrudniała w roku 2014 pięciu pracowników na umowę o pracę:</w:t>
      </w:r>
    </w:p>
    <w:p w:rsidR="002E4371" w:rsidRPr="002E4371" w:rsidRDefault="002E4371" w:rsidP="002E4371">
      <w:pPr>
        <w:pStyle w:val="NormalnyWeb"/>
        <w:numPr>
          <w:ilvl w:val="0"/>
          <w:numId w:val="4"/>
        </w:numPr>
        <w:spacing w:after="0" w:afterAutospacing="0" w:line="240" w:lineRule="auto"/>
        <w:jc w:val="both"/>
        <w:rPr>
          <w:rFonts w:ascii="Calibri" w:hAnsi="Calibri"/>
          <w:sz w:val="22"/>
          <w:szCs w:val="22"/>
        </w:rPr>
      </w:pPr>
      <w:r w:rsidRPr="002E4371">
        <w:rPr>
          <w:rFonts w:ascii="Calibri" w:hAnsi="Calibri"/>
          <w:sz w:val="22"/>
          <w:szCs w:val="22"/>
        </w:rPr>
        <w:t>czterech w wymiarze pełnego etatu, zatrudnionych od 1 stycznia 2014 r.,</w:t>
      </w:r>
    </w:p>
    <w:p w:rsidR="002E4371" w:rsidRPr="002E4371" w:rsidRDefault="002E4371" w:rsidP="002E4371">
      <w:pPr>
        <w:pStyle w:val="NormalnyWeb"/>
        <w:numPr>
          <w:ilvl w:val="0"/>
          <w:numId w:val="4"/>
        </w:numPr>
        <w:spacing w:after="0" w:afterAutospacing="0" w:line="240" w:lineRule="auto"/>
        <w:jc w:val="both"/>
        <w:rPr>
          <w:rFonts w:ascii="Calibri" w:hAnsi="Calibri"/>
          <w:sz w:val="22"/>
          <w:szCs w:val="22"/>
        </w:rPr>
      </w:pPr>
      <w:r w:rsidRPr="002E4371">
        <w:rPr>
          <w:rFonts w:ascii="Calibri" w:hAnsi="Calibri"/>
          <w:sz w:val="22"/>
          <w:szCs w:val="22"/>
        </w:rPr>
        <w:t>jednego od 3 sierpnia 2014 r. do 31 grudnia 2014r., w wymiarze ¼ etatu.</w:t>
      </w:r>
    </w:p>
    <w:p w:rsidR="002E4371" w:rsidRPr="002E4371" w:rsidRDefault="002E4371" w:rsidP="002E4371">
      <w:pPr>
        <w:pStyle w:val="NormalnyWeb"/>
        <w:spacing w:before="120" w:after="0" w:afterAutospacing="0" w:line="240" w:lineRule="auto"/>
        <w:jc w:val="both"/>
        <w:rPr>
          <w:rFonts w:ascii="Calibri" w:hAnsi="Calibri"/>
          <w:sz w:val="22"/>
          <w:szCs w:val="22"/>
        </w:rPr>
      </w:pPr>
      <w:r w:rsidRPr="002E4371">
        <w:rPr>
          <w:rStyle w:val="Pogrubienie"/>
          <w:rFonts w:ascii="Calibri" w:hAnsi="Calibri"/>
          <w:sz w:val="22"/>
          <w:szCs w:val="22"/>
        </w:rPr>
        <w:t>Obliczenie RJP za rok 2014:</w:t>
      </w:r>
    </w:p>
    <w:p w:rsidR="002E4371" w:rsidRPr="002E4371" w:rsidRDefault="002E4371" w:rsidP="002E4371">
      <w:pPr>
        <w:pStyle w:val="NormalnyWeb"/>
        <w:spacing w:after="0" w:afterAutospacing="0" w:line="240" w:lineRule="auto"/>
        <w:jc w:val="both"/>
        <w:rPr>
          <w:rFonts w:ascii="Calibri" w:hAnsi="Calibri"/>
          <w:sz w:val="22"/>
          <w:szCs w:val="22"/>
        </w:rPr>
      </w:pPr>
      <w:r w:rsidRPr="002E4371">
        <w:rPr>
          <w:rFonts w:ascii="Calibri" w:hAnsi="Calibri"/>
          <w:sz w:val="22"/>
          <w:szCs w:val="22"/>
        </w:rPr>
        <w:t>Średnioroczne zatrudnienie w przedsiębiorstwie = 4 RJP + ułamkowa część RJP piątego pracownika.</w:t>
      </w:r>
    </w:p>
    <w:p w:rsidR="002E4371" w:rsidRPr="002E4371" w:rsidRDefault="002E4371" w:rsidP="002E4371">
      <w:pPr>
        <w:pStyle w:val="NormalnyWeb"/>
        <w:spacing w:after="0" w:afterAutospacing="0" w:line="240" w:lineRule="auto"/>
        <w:jc w:val="both"/>
        <w:rPr>
          <w:rFonts w:ascii="Calibri" w:hAnsi="Calibri"/>
          <w:sz w:val="22"/>
          <w:szCs w:val="22"/>
        </w:rPr>
      </w:pPr>
      <w:r w:rsidRPr="002E4371">
        <w:rPr>
          <w:rFonts w:ascii="Calibri" w:hAnsi="Calibri"/>
          <w:sz w:val="22"/>
          <w:szCs w:val="22"/>
        </w:rPr>
        <w:t xml:space="preserve">Piąty pracownik przepracował w firmie w </w:t>
      </w:r>
      <w:r w:rsidR="000A07E6">
        <w:rPr>
          <w:rFonts w:ascii="Calibri" w:hAnsi="Calibri"/>
          <w:sz w:val="22"/>
          <w:szCs w:val="22"/>
        </w:rPr>
        <w:t>roku 2</w:t>
      </w:r>
      <w:r w:rsidRPr="002E4371">
        <w:rPr>
          <w:rFonts w:ascii="Calibri" w:hAnsi="Calibri"/>
          <w:sz w:val="22"/>
          <w:szCs w:val="22"/>
        </w:rPr>
        <w:t>014 151 dni (29 dni sierpnia + dwa miesiące po 30 dni + dwa miesiące po 31 dni). W skali roku stanowi to 0,10 RJP: 151 dni przepracowanych / 365 dni roku = 0,4137 *0,25 etatu = 0,10 RJP.</w:t>
      </w:r>
    </w:p>
    <w:p w:rsidR="002E4371" w:rsidRPr="005802AC" w:rsidRDefault="002E4371" w:rsidP="002E4371">
      <w:pPr>
        <w:pStyle w:val="NormalnyWeb"/>
        <w:spacing w:after="0" w:afterAutospacing="0" w:line="240" w:lineRule="auto"/>
        <w:jc w:val="both"/>
        <w:rPr>
          <w:rFonts w:ascii="Calibri" w:hAnsi="Calibri"/>
          <w:sz w:val="22"/>
          <w:szCs w:val="22"/>
        </w:rPr>
      </w:pPr>
      <w:r w:rsidRPr="002E4371">
        <w:rPr>
          <w:rFonts w:ascii="Calibri" w:hAnsi="Calibri"/>
          <w:sz w:val="22"/>
          <w:szCs w:val="22"/>
        </w:rPr>
        <w:t xml:space="preserve">Łącznie średnioroczne zatrudnienie w przedsiębiorstwie w </w:t>
      </w:r>
      <w:r w:rsidR="000A07E6">
        <w:rPr>
          <w:rFonts w:ascii="Calibri" w:hAnsi="Calibri"/>
          <w:sz w:val="22"/>
          <w:szCs w:val="22"/>
        </w:rPr>
        <w:t xml:space="preserve">roku </w:t>
      </w:r>
      <w:r w:rsidRPr="002E4371">
        <w:rPr>
          <w:rFonts w:ascii="Calibri" w:hAnsi="Calibri"/>
          <w:sz w:val="22"/>
          <w:szCs w:val="22"/>
        </w:rPr>
        <w:t>2014 wynosiło 4,10 RJP.</w:t>
      </w:r>
    </w:p>
    <w:p w:rsidR="00AA3AE1" w:rsidRPr="00161C07" w:rsidRDefault="00AA3AE1" w:rsidP="00863106">
      <w:pPr>
        <w:spacing w:before="120" w:after="0" w:line="240" w:lineRule="auto"/>
        <w:jc w:val="both"/>
      </w:pPr>
      <w:r w:rsidRPr="00161C07">
        <w:rPr>
          <w:b/>
          <w:color w:val="C00000"/>
        </w:rPr>
        <w:t>Roczny obrót</w:t>
      </w:r>
      <w:r w:rsidRPr="00161C07">
        <w:t xml:space="preserve"> oblicza się przez obliczenie przychodu, jaki przedsiębiorstwo uzyskało ze sprzedaży produktów </w:t>
      </w:r>
      <w:r w:rsidR="00BB6BB7" w:rsidRPr="00161C07">
        <w:t>i </w:t>
      </w:r>
      <w:r w:rsidRPr="00161C07">
        <w:t>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rsidR="00AA3AE1" w:rsidRPr="00161C07" w:rsidRDefault="00AA3AE1" w:rsidP="00863106">
      <w:pPr>
        <w:spacing w:before="120" w:after="0" w:line="240" w:lineRule="auto"/>
        <w:jc w:val="both"/>
      </w:pPr>
      <w:r w:rsidRPr="00161C07">
        <w:rPr>
          <w:b/>
          <w:color w:val="C00000"/>
        </w:rPr>
        <w:t>Całkowity bilans roczny</w:t>
      </w:r>
      <w:r w:rsidRPr="00161C07">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rsidR="00AA3AE1" w:rsidRPr="00161C07" w:rsidRDefault="00AA3AE1" w:rsidP="00863106">
      <w:pPr>
        <w:pStyle w:val="Tekstprzypisukocowego"/>
        <w:spacing w:before="120"/>
        <w:jc w:val="both"/>
        <w:rPr>
          <w:rFonts w:cs="Calibri"/>
          <w:sz w:val="22"/>
          <w:szCs w:val="22"/>
        </w:rPr>
      </w:pPr>
      <w:r w:rsidRPr="00161C07">
        <w:rPr>
          <w:rFonts w:cs="Calibri"/>
          <w:b/>
          <w:color w:val="C00000"/>
          <w:sz w:val="22"/>
          <w:szCs w:val="22"/>
        </w:rPr>
        <w:t>Relacja za pośrednictwem osoby fizycznej</w:t>
      </w:r>
      <w:r w:rsidRPr="00161C07">
        <w:rPr>
          <w:rFonts w:cs="Calibri"/>
          <w:sz w:val="22"/>
          <w:szCs w:val="22"/>
        </w:rPr>
        <w:t xml:space="preserve"> – przedsiębiorstwa, które pozostają w jednym ze związków opisanych w art. 3 ust. 3 Załącznika 1</w:t>
      </w:r>
      <w:r w:rsidRPr="00161C07">
        <w:rPr>
          <w:rFonts w:cs="Calibri"/>
          <w:color w:val="000000"/>
          <w:sz w:val="22"/>
          <w:szCs w:val="22"/>
        </w:rPr>
        <w:t xml:space="preserve"> do </w:t>
      </w:r>
      <w:r w:rsidRPr="00161C07">
        <w:rPr>
          <w:rFonts w:cs="Calibri"/>
          <w:sz w:val="22"/>
          <w:szCs w:val="22"/>
        </w:rPr>
        <w:t xml:space="preserve">Rozporządzenia Komisji (UE) nr 651/2014 za pośrednictwem osoby fizycznej lub grupy osób fizycznych działających wspólnie również uznaje się za przedsiębiorstwa powiązane, </w:t>
      </w:r>
      <w:r w:rsidRPr="00161C07">
        <w:rPr>
          <w:rFonts w:cs="Calibri"/>
          <w:b/>
          <w:sz w:val="22"/>
          <w:szCs w:val="22"/>
        </w:rPr>
        <w:t>jeżeli prowadzą one swoją działalność lub część działalności na tym samym rynku właściwym lub rynkach pokrewnych</w:t>
      </w:r>
      <w:r w:rsidRPr="00161C07">
        <w:rPr>
          <w:rFonts w:cs="Calibri"/>
          <w:sz w:val="22"/>
          <w:szCs w:val="22"/>
        </w:rPr>
        <w:t>. Znaczenie mają tu tylko takie relacje, które dotyczą powiązań za pośrednictwem osób fizycznych (</w:t>
      </w:r>
      <w:r w:rsidRPr="00161C07">
        <w:rPr>
          <w:rFonts w:cs="Calibri"/>
          <w:b/>
          <w:sz w:val="22"/>
          <w:szCs w:val="22"/>
        </w:rPr>
        <w:t>mających decydujący wpływ na zarządzanie/podejmowanie decyzji w danych przedsiębiorstwach lub posiadających większościowy pakiet udziałów/akcji</w:t>
      </w:r>
      <w:r w:rsidRPr="00161C07">
        <w:rPr>
          <w:rFonts w:cs="Calibri"/>
          <w:sz w:val="22"/>
          <w:szCs w:val="22"/>
        </w:rPr>
        <w:t>)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w:t>
      </w:r>
      <w:r w:rsidR="00FB5C1C">
        <w:rPr>
          <w:rFonts w:cs="Calibri"/>
          <w:sz w:val="22"/>
          <w:szCs w:val="22"/>
        </w:rPr>
        <w:t xml:space="preserve">odmioty te są powiązane, jeśli </w:t>
      </w:r>
      <w:r w:rsidRPr="00161C07">
        <w:rPr>
          <w:rFonts w:cs="Calibri"/>
          <w:sz w:val="22"/>
          <w:szCs w:val="22"/>
        </w:rPr>
        <w:t xml:space="preserve">wywiera ona </w:t>
      </w:r>
      <w:r w:rsidRPr="00161C07">
        <w:rPr>
          <w:rFonts w:cs="Calibri"/>
          <w:b/>
          <w:color w:val="C00000"/>
          <w:sz w:val="22"/>
          <w:szCs w:val="22"/>
        </w:rPr>
        <w:t>dominujący wpływ na działalność tych</w:t>
      </w:r>
      <w:r w:rsidR="00DC512B">
        <w:rPr>
          <w:rFonts w:cs="Calibri"/>
          <w:b/>
          <w:color w:val="C00000"/>
          <w:sz w:val="22"/>
          <w:szCs w:val="22"/>
        </w:rPr>
        <w:t xml:space="preserve"> </w:t>
      </w:r>
      <w:r w:rsidRPr="00161C07">
        <w:rPr>
          <w:rFonts w:cs="Calibri"/>
          <w:b/>
          <w:color w:val="C00000"/>
          <w:sz w:val="22"/>
          <w:szCs w:val="22"/>
        </w:rPr>
        <w:t>przedsiębiorstw</w:t>
      </w:r>
      <w:r w:rsidRPr="00161C07">
        <w:rPr>
          <w:rFonts w:cs="Calibri"/>
          <w:color w:val="C00000"/>
          <w:sz w:val="22"/>
          <w:szCs w:val="22"/>
        </w:rPr>
        <w:t>.</w:t>
      </w:r>
    </w:p>
    <w:p w:rsidR="005802AC" w:rsidRDefault="00AA3AE1" w:rsidP="00863106">
      <w:pPr>
        <w:spacing w:before="120" w:after="120"/>
        <w:jc w:val="both"/>
        <w:rPr>
          <w:rFonts w:cs="Calibri"/>
          <w:b/>
        </w:rPr>
      </w:pPr>
      <w:r w:rsidRPr="00161C07">
        <w:t xml:space="preserve">Przedsiębiorstwa sporządzające skonsolidowane sprawozdania finansowe lub ujęte w sprawozdaniach innego przedsiębiorstwa, które takie sprawozdania sporządza, nie są uważane za </w:t>
      </w:r>
      <w:r w:rsidRPr="00161C07">
        <w:rPr>
          <w:b/>
        </w:rPr>
        <w:t xml:space="preserve">przedsiębiorstwa </w:t>
      </w:r>
      <w:r w:rsidRPr="00161C07">
        <w:rPr>
          <w:rFonts w:cs="Calibri"/>
          <w:b/>
        </w:rPr>
        <w:t>samodzielne.</w:t>
      </w:r>
    </w:p>
    <w:sectPr w:rsidR="005802AC" w:rsidSect="006E5812">
      <w:footerReference w:type="default" r:id="rId11"/>
      <w:headerReference w:type="first" r:id="rId12"/>
      <w:footerReference w:type="first" r:id="rId13"/>
      <w:pgSz w:w="11906" w:h="16838"/>
      <w:pgMar w:top="851" w:right="851" w:bottom="1418" w:left="851" w:header="6"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DD5" w:rsidRDefault="00D06DD5" w:rsidP="00CF3A5A">
      <w:pPr>
        <w:spacing w:after="0" w:line="240" w:lineRule="auto"/>
      </w:pPr>
      <w:r>
        <w:separator/>
      </w:r>
    </w:p>
  </w:endnote>
  <w:endnote w:type="continuationSeparator" w:id="0">
    <w:p w:rsidR="00D06DD5" w:rsidRDefault="00D06DD5" w:rsidP="00CF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roman"/>
    <w:pitch w:val="default"/>
  </w:font>
  <w:font w:name="EUAlbertina-Regu">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E0C" w:rsidRPr="0085765C" w:rsidRDefault="00276341" w:rsidP="0085765C">
    <w:pPr>
      <w:pStyle w:val="Stopka"/>
      <w:pBdr>
        <w:top w:val="single" w:sz="4" w:space="1" w:color="D9D9D9"/>
      </w:pBdr>
      <w:jc w:val="right"/>
      <w:rPr>
        <w:b/>
        <w:bCs/>
      </w:rPr>
    </w:pPr>
    <w:r>
      <w:fldChar w:fldCharType="begin"/>
    </w:r>
    <w:r w:rsidR="00D36C41">
      <w:instrText>PAGE   \* MERGEFORMAT</w:instrText>
    </w:r>
    <w:r>
      <w:fldChar w:fldCharType="separate"/>
    </w:r>
    <w:r w:rsidR="00DA61B0" w:rsidRPr="00DA61B0">
      <w:rPr>
        <w:b/>
        <w:bCs/>
        <w:noProof/>
      </w:rPr>
      <w:t>1</w:t>
    </w:r>
    <w:r>
      <w:rPr>
        <w:b/>
        <w:bCs/>
        <w:noProof/>
      </w:rPr>
      <w:fldChar w:fldCharType="end"/>
    </w:r>
    <w:r w:rsidR="00111E0C">
      <w:rPr>
        <w:b/>
        <w:bCs/>
      </w:rPr>
      <w:t xml:space="preserve"> | </w:t>
    </w:r>
    <w:r w:rsidR="00111E0C" w:rsidRPr="00601A8E">
      <w:rPr>
        <w:color w:val="7F7F7F"/>
        <w:spacing w:val="60"/>
      </w:rPr>
      <w:t>Strona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E0C" w:rsidRDefault="00276341" w:rsidP="00601A8E">
    <w:pPr>
      <w:pStyle w:val="Stopka"/>
      <w:pBdr>
        <w:top w:val="single" w:sz="4" w:space="1" w:color="D9D9D9"/>
      </w:pBdr>
      <w:jc w:val="right"/>
      <w:rPr>
        <w:b/>
        <w:bCs/>
      </w:rPr>
    </w:pPr>
    <w:r>
      <w:fldChar w:fldCharType="begin"/>
    </w:r>
    <w:r w:rsidR="00D36C41">
      <w:instrText>PAGE   \* MERGEFORMAT</w:instrText>
    </w:r>
    <w:r>
      <w:fldChar w:fldCharType="separate"/>
    </w:r>
    <w:r w:rsidR="00111E0C" w:rsidRPr="00601A8E">
      <w:rPr>
        <w:b/>
        <w:bCs/>
        <w:noProof/>
      </w:rPr>
      <w:t>1</w:t>
    </w:r>
    <w:r>
      <w:rPr>
        <w:b/>
        <w:bCs/>
        <w:noProof/>
      </w:rPr>
      <w:fldChar w:fldCharType="end"/>
    </w:r>
    <w:r w:rsidR="00111E0C">
      <w:rPr>
        <w:b/>
        <w:bCs/>
      </w:rPr>
      <w:t xml:space="preserve"> | </w:t>
    </w:r>
    <w:r w:rsidR="00111E0C" w:rsidRPr="00601A8E">
      <w:rPr>
        <w:color w:val="7F7F7F"/>
        <w:spacing w:val="60"/>
      </w:rPr>
      <w:t>Strona</w:t>
    </w:r>
  </w:p>
  <w:p w:rsidR="00111E0C" w:rsidRPr="00601A8E" w:rsidRDefault="00111E0C" w:rsidP="00601A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DD5" w:rsidRDefault="00D06DD5" w:rsidP="00CF3A5A">
      <w:pPr>
        <w:spacing w:after="0" w:line="240" w:lineRule="auto"/>
      </w:pPr>
      <w:r>
        <w:separator/>
      </w:r>
    </w:p>
  </w:footnote>
  <w:footnote w:type="continuationSeparator" w:id="0">
    <w:p w:rsidR="00D06DD5" w:rsidRDefault="00D06DD5" w:rsidP="00CF3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E0C" w:rsidRPr="009579FD" w:rsidRDefault="009320E3" w:rsidP="009579FD">
    <w:pPr>
      <w:pStyle w:val="Nagwek"/>
      <w:jc w:val="center"/>
    </w:pPr>
    <w:r>
      <w:rPr>
        <w:noProof/>
      </w:rPr>
      <w:drawing>
        <wp:inline distT="0" distB="0" distL="0" distR="0">
          <wp:extent cx="5443855" cy="795655"/>
          <wp:effectExtent l="19050" t="0" r="4445" b="0"/>
          <wp:docPr id="2" name="Obraz 2"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achromatyczny poziom"/>
                  <pic:cNvPicPr>
                    <a:picLocks noChangeAspect="1" noChangeArrowheads="1"/>
                  </pic:cNvPicPr>
                </pic:nvPicPr>
                <pic:blipFill>
                  <a:blip r:embed="rId1"/>
                  <a:srcRect/>
                  <a:stretch>
                    <a:fillRect/>
                  </a:stretch>
                </pic:blipFill>
                <pic:spPr bwMode="auto">
                  <a:xfrm>
                    <a:off x="0" y="0"/>
                    <a:ext cx="5443855" cy="795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193"/>
    <w:multiLevelType w:val="hybridMultilevel"/>
    <w:tmpl w:val="C47E8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817CF1"/>
    <w:multiLevelType w:val="hybridMultilevel"/>
    <w:tmpl w:val="1ACA370E"/>
    <w:lvl w:ilvl="0" w:tplc="B310E04E">
      <w:start w:val="1"/>
      <w:numFmt w:val="bullet"/>
      <w:lvlText w:val=""/>
      <w:lvlJc w:val="left"/>
      <w:pPr>
        <w:tabs>
          <w:tab w:val="num" w:pos="786"/>
        </w:tabs>
        <w:ind w:left="786" w:hanging="426"/>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704F9D"/>
    <w:multiLevelType w:val="hybridMultilevel"/>
    <w:tmpl w:val="01F8BDD6"/>
    <w:lvl w:ilvl="0" w:tplc="E620F4F2">
      <w:start w:val="6"/>
      <w:numFmt w:val="bullet"/>
      <w:lvlText w:val=""/>
      <w:lvlJc w:val="left"/>
      <w:pPr>
        <w:tabs>
          <w:tab w:val="num" w:pos="851"/>
        </w:tabs>
        <w:ind w:left="851" w:hanging="42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27E84"/>
    <w:multiLevelType w:val="multilevel"/>
    <w:tmpl w:val="789C78CC"/>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sz w:val="24"/>
        <w:szCs w:val="24"/>
      </w:rPr>
    </w:lvl>
    <w:lvl w:ilvl="2">
      <w:start w:val="1"/>
      <w:numFmt w:val="decimal"/>
      <w:pStyle w:val="Nagwek3"/>
      <w:lvlText w:val="%1.%2.%3"/>
      <w:lvlJc w:val="left"/>
      <w:pPr>
        <w:tabs>
          <w:tab w:val="num" w:pos="6380"/>
        </w:tabs>
        <w:ind w:left="638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 w15:restartNumberingAfterBreak="0">
    <w:nsid w:val="4FA81CB4"/>
    <w:multiLevelType w:val="hybridMultilevel"/>
    <w:tmpl w:val="D628371E"/>
    <w:lvl w:ilvl="0" w:tplc="00DC5E02">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09A6B7D"/>
    <w:multiLevelType w:val="multilevel"/>
    <w:tmpl w:val="D7BAAC10"/>
    <w:lvl w:ilvl="0">
      <w:start w:val="1"/>
      <w:numFmt w:val="lowerLetter"/>
      <w:lvlText w:val="%1)"/>
      <w:lvlJc w:val="left"/>
      <w:pPr>
        <w:tabs>
          <w:tab w:val="num" w:pos="851"/>
        </w:tabs>
        <w:ind w:left="851" w:hanging="4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E96402C"/>
    <w:multiLevelType w:val="hybridMultilevel"/>
    <w:tmpl w:val="1F5213AC"/>
    <w:lvl w:ilvl="0" w:tplc="00DC5E02">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AB65AE3"/>
    <w:multiLevelType w:val="hybridMultilevel"/>
    <w:tmpl w:val="C608C200"/>
    <w:lvl w:ilvl="0" w:tplc="DCC653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7"/>
  </w:num>
  <w:num w:numId="3">
    <w:abstractNumId w:val="4"/>
  </w:num>
  <w:num w:numId="4">
    <w:abstractNumId w:val="2"/>
  </w:num>
  <w:num w:numId="5">
    <w:abstractNumId w:val="6"/>
  </w:num>
  <w:num w:numId="6">
    <w:abstractNumId w:val="1"/>
  </w:num>
  <w:num w:numId="7">
    <w:abstractNumId w:val="5"/>
  </w:num>
  <w:num w:numId="8">
    <w:abstractNumId w:val="8"/>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360"/>
    <w:rsid w:val="00000D00"/>
    <w:rsid w:val="00001481"/>
    <w:rsid w:val="00002566"/>
    <w:rsid w:val="00004E05"/>
    <w:rsid w:val="0000656D"/>
    <w:rsid w:val="00007969"/>
    <w:rsid w:val="00013CEA"/>
    <w:rsid w:val="0002045E"/>
    <w:rsid w:val="000213DF"/>
    <w:rsid w:val="00022A89"/>
    <w:rsid w:val="000244E2"/>
    <w:rsid w:val="00024908"/>
    <w:rsid w:val="0002547D"/>
    <w:rsid w:val="000265B3"/>
    <w:rsid w:val="00031477"/>
    <w:rsid w:val="00031A7E"/>
    <w:rsid w:val="000336A4"/>
    <w:rsid w:val="00036DAC"/>
    <w:rsid w:val="000424CC"/>
    <w:rsid w:val="00047E01"/>
    <w:rsid w:val="0005263E"/>
    <w:rsid w:val="00053E24"/>
    <w:rsid w:val="00060E66"/>
    <w:rsid w:val="00061438"/>
    <w:rsid w:val="00063702"/>
    <w:rsid w:val="00067FE7"/>
    <w:rsid w:val="00074E42"/>
    <w:rsid w:val="00076437"/>
    <w:rsid w:val="0007656A"/>
    <w:rsid w:val="00076A66"/>
    <w:rsid w:val="0007713D"/>
    <w:rsid w:val="00081838"/>
    <w:rsid w:val="000828AE"/>
    <w:rsid w:val="00090EBB"/>
    <w:rsid w:val="0009550E"/>
    <w:rsid w:val="00096DE1"/>
    <w:rsid w:val="00097C89"/>
    <w:rsid w:val="000A07E6"/>
    <w:rsid w:val="000A3488"/>
    <w:rsid w:val="000A5344"/>
    <w:rsid w:val="000A5AEA"/>
    <w:rsid w:val="000C07E3"/>
    <w:rsid w:val="000C3183"/>
    <w:rsid w:val="000C48C3"/>
    <w:rsid w:val="000C76A2"/>
    <w:rsid w:val="000C7DF3"/>
    <w:rsid w:val="000D4332"/>
    <w:rsid w:val="000D4C4E"/>
    <w:rsid w:val="000D589E"/>
    <w:rsid w:val="000E1327"/>
    <w:rsid w:val="000E1770"/>
    <w:rsid w:val="000E3021"/>
    <w:rsid w:val="000E420F"/>
    <w:rsid w:val="000E454C"/>
    <w:rsid w:val="000F0D27"/>
    <w:rsid w:val="000F2C89"/>
    <w:rsid w:val="00103CD1"/>
    <w:rsid w:val="00104464"/>
    <w:rsid w:val="00107611"/>
    <w:rsid w:val="00111E0C"/>
    <w:rsid w:val="00112B7F"/>
    <w:rsid w:val="00114AC9"/>
    <w:rsid w:val="00116930"/>
    <w:rsid w:val="00120824"/>
    <w:rsid w:val="0012501D"/>
    <w:rsid w:val="00125309"/>
    <w:rsid w:val="00125875"/>
    <w:rsid w:val="00142CFE"/>
    <w:rsid w:val="00143278"/>
    <w:rsid w:val="00143C7D"/>
    <w:rsid w:val="001453E1"/>
    <w:rsid w:val="00146A0A"/>
    <w:rsid w:val="00161C07"/>
    <w:rsid w:val="00162F8E"/>
    <w:rsid w:val="001641C1"/>
    <w:rsid w:val="00165580"/>
    <w:rsid w:val="001679D3"/>
    <w:rsid w:val="00170E95"/>
    <w:rsid w:val="00174769"/>
    <w:rsid w:val="001757AF"/>
    <w:rsid w:val="00185E4D"/>
    <w:rsid w:val="001865C8"/>
    <w:rsid w:val="00186EF3"/>
    <w:rsid w:val="001937D2"/>
    <w:rsid w:val="00194EC8"/>
    <w:rsid w:val="001A3234"/>
    <w:rsid w:val="001A35E9"/>
    <w:rsid w:val="001A3DBF"/>
    <w:rsid w:val="001A696F"/>
    <w:rsid w:val="001A7A48"/>
    <w:rsid w:val="001B0698"/>
    <w:rsid w:val="001C4693"/>
    <w:rsid w:val="001D7E15"/>
    <w:rsid w:val="001E01B3"/>
    <w:rsid w:val="001E0AF1"/>
    <w:rsid w:val="001E49C3"/>
    <w:rsid w:val="001E63CD"/>
    <w:rsid w:val="001E63EA"/>
    <w:rsid w:val="001F080D"/>
    <w:rsid w:val="001F4C39"/>
    <w:rsid w:val="002015F9"/>
    <w:rsid w:val="00202F1E"/>
    <w:rsid w:val="00202FBB"/>
    <w:rsid w:val="00204F35"/>
    <w:rsid w:val="002104CE"/>
    <w:rsid w:val="00210EC7"/>
    <w:rsid w:val="00213238"/>
    <w:rsid w:val="00216D98"/>
    <w:rsid w:val="00216E5D"/>
    <w:rsid w:val="002203C9"/>
    <w:rsid w:val="0022061F"/>
    <w:rsid w:val="00221B6D"/>
    <w:rsid w:val="002301E0"/>
    <w:rsid w:val="00231763"/>
    <w:rsid w:val="0023344E"/>
    <w:rsid w:val="00235FB0"/>
    <w:rsid w:val="00237470"/>
    <w:rsid w:val="00237CCF"/>
    <w:rsid w:val="00240151"/>
    <w:rsid w:val="002430A9"/>
    <w:rsid w:val="002454D0"/>
    <w:rsid w:val="0024629C"/>
    <w:rsid w:val="00251505"/>
    <w:rsid w:val="002555E5"/>
    <w:rsid w:val="00255C0C"/>
    <w:rsid w:val="00260C49"/>
    <w:rsid w:val="0026476C"/>
    <w:rsid w:val="002678C9"/>
    <w:rsid w:val="002708AD"/>
    <w:rsid w:val="00270989"/>
    <w:rsid w:val="00276341"/>
    <w:rsid w:val="00281B26"/>
    <w:rsid w:val="00283CD8"/>
    <w:rsid w:val="0029076B"/>
    <w:rsid w:val="00295D02"/>
    <w:rsid w:val="002A1E9C"/>
    <w:rsid w:val="002A3304"/>
    <w:rsid w:val="002A6471"/>
    <w:rsid w:val="002A7A13"/>
    <w:rsid w:val="002B4F1D"/>
    <w:rsid w:val="002C00F0"/>
    <w:rsid w:val="002C0373"/>
    <w:rsid w:val="002C19CC"/>
    <w:rsid w:val="002C214C"/>
    <w:rsid w:val="002C303D"/>
    <w:rsid w:val="002D10DB"/>
    <w:rsid w:val="002D44CC"/>
    <w:rsid w:val="002D6022"/>
    <w:rsid w:val="002E414B"/>
    <w:rsid w:val="002E4371"/>
    <w:rsid w:val="002E5BC2"/>
    <w:rsid w:val="002E7E7B"/>
    <w:rsid w:val="002F13AC"/>
    <w:rsid w:val="002F18AD"/>
    <w:rsid w:val="00302926"/>
    <w:rsid w:val="0031126D"/>
    <w:rsid w:val="00313744"/>
    <w:rsid w:val="00314E06"/>
    <w:rsid w:val="00317996"/>
    <w:rsid w:val="003237DD"/>
    <w:rsid w:val="003255D2"/>
    <w:rsid w:val="003319DB"/>
    <w:rsid w:val="0033761C"/>
    <w:rsid w:val="00337A52"/>
    <w:rsid w:val="00342DE7"/>
    <w:rsid w:val="0034386F"/>
    <w:rsid w:val="003502EE"/>
    <w:rsid w:val="0035217A"/>
    <w:rsid w:val="0035301D"/>
    <w:rsid w:val="00354883"/>
    <w:rsid w:val="00355D20"/>
    <w:rsid w:val="003618F3"/>
    <w:rsid w:val="0036450F"/>
    <w:rsid w:val="00370891"/>
    <w:rsid w:val="00370C3F"/>
    <w:rsid w:val="00373844"/>
    <w:rsid w:val="00374157"/>
    <w:rsid w:val="003747D3"/>
    <w:rsid w:val="003747DA"/>
    <w:rsid w:val="00377DB9"/>
    <w:rsid w:val="003832EF"/>
    <w:rsid w:val="00384139"/>
    <w:rsid w:val="00387C39"/>
    <w:rsid w:val="003919DD"/>
    <w:rsid w:val="003A683D"/>
    <w:rsid w:val="003A6F48"/>
    <w:rsid w:val="003B0E70"/>
    <w:rsid w:val="003B1696"/>
    <w:rsid w:val="003B44A4"/>
    <w:rsid w:val="003B604C"/>
    <w:rsid w:val="003B6DD1"/>
    <w:rsid w:val="003B7AC5"/>
    <w:rsid w:val="003C058F"/>
    <w:rsid w:val="003C7832"/>
    <w:rsid w:val="003C7978"/>
    <w:rsid w:val="003C7AAE"/>
    <w:rsid w:val="003D1877"/>
    <w:rsid w:val="003D3D21"/>
    <w:rsid w:val="003D4BEE"/>
    <w:rsid w:val="003D753A"/>
    <w:rsid w:val="003D7CCA"/>
    <w:rsid w:val="003E088A"/>
    <w:rsid w:val="003E0BD2"/>
    <w:rsid w:val="003E2268"/>
    <w:rsid w:val="003F16E5"/>
    <w:rsid w:val="003F51AC"/>
    <w:rsid w:val="00400ADB"/>
    <w:rsid w:val="0040278B"/>
    <w:rsid w:val="004030CC"/>
    <w:rsid w:val="00426704"/>
    <w:rsid w:val="004271D7"/>
    <w:rsid w:val="00432039"/>
    <w:rsid w:val="004344FD"/>
    <w:rsid w:val="00434FBA"/>
    <w:rsid w:val="00437438"/>
    <w:rsid w:val="004374D8"/>
    <w:rsid w:val="00437DA2"/>
    <w:rsid w:val="004427AF"/>
    <w:rsid w:val="004458B2"/>
    <w:rsid w:val="00445F5A"/>
    <w:rsid w:val="004514B5"/>
    <w:rsid w:val="00452044"/>
    <w:rsid w:val="00456F13"/>
    <w:rsid w:val="00457EDC"/>
    <w:rsid w:val="00463BE5"/>
    <w:rsid w:val="00472CE6"/>
    <w:rsid w:val="00472DD1"/>
    <w:rsid w:val="00475F43"/>
    <w:rsid w:val="00476492"/>
    <w:rsid w:val="004766FF"/>
    <w:rsid w:val="0048043A"/>
    <w:rsid w:val="004805DC"/>
    <w:rsid w:val="00480B76"/>
    <w:rsid w:val="00482A2B"/>
    <w:rsid w:val="004842A9"/>
    <w:rsid w:val="0048628F"/>
    <w:rsid w:val="0048655A"/>
    <w:rsid w:val="00490FA9"/>
    <w:rsid w:val="004A0F4F"/>
    <w:rsid w:val="004A10BB"/>
    <w:rsid w:val="004A176A"/>
    <w:rsid w:val="004A3841"/>
    <w:rsid w:val="004A418D"/>
    <w:rsid w:val="004B053F"/>
    <w:rsid w:val="004B3090"/>
    <w:rsid w:val="004B6496"/>
    <w:rsid w:val="004B7EFC"/>
    <w:rsid w:val="004C2292"/>
    <w:rsid w:val="004C604F"/>
    <w:rsid w:val="004D6FB1"/>
    <w:rsid w:val="004E042A"/>
    <w:rsid w:val="004E1888"/>
    <w:rsid w:val="004E2170"/>
    <w:rsid w:val="004E6057"/>
    <w:rsid w:val="004F4788"/>
    <w:rsid w:val="004F66C5"/>
    <w:rsid w:val="004F6E4A"/>
    <w:rsid w:val="00500DFF"/>
    <w:rsid w:val="00504F6F"/>
    <w:rsid w:val="005068BB"/>
    <w:rsid w:val="00513542"/>
    <w:rsid w:val="00513BFE"/>
    <w:rsid w:val="00521244"/>
    <w:rsid w:val="0052129F"/>
    <w:rsid w:val="005231AC"/>
    <w:rsid w:val="00523C80"/>
    <w:rsid w:val="00524179"/>
    <w:rsid w:val="00527775"/>
    <w:rsid w:val="00527F00"/>
    <w:rsid w:val="00536142"/>
    <w:rsid w:val="00536355"/>
    <w:rsid w:val="00541C9D"/>
    <w:rsid w:val="00541E34"/>
    <w:rsid w:val="00542DD1"/>
    <w:rsid w:val="00543C76"/>
    <w:rsid w:val="00543F6C"/>
    <w:rsid w:val="00545A2A"/>
    <w:rsid w:val="00554175"/>
    <w:rsid w:val="00555B42"/>
    <w:rsid w:val="00555C63"/>
    <w:rsid w:val="00564C04"/>
    <w:rsid w:val="00564CD3"/>
    <w:rsid w:val="005659D3"/>
    <w:rsid w:val="0057309A"/>
    <w:rsid w:val="00575BCF"/>
    <w:rsid w:val="00576FA8"/>
    <w:rsid w:val="005802AC"/>
    <w:rsid w:val="00581124"/>
    <w:rsid w:val="0058144B"/>
    <w:rsid w:val="00585951"/>
    <w:rsid w:val="00585C80"/>
    <w:rsid w:val="00590133"/>
    <w:rsid w:val="0059229E"/>
    <w:rsid w:val="00595D7C"/>
    <w:rsid w:val="00596AE1"/>
    <w:rsid w:val="005970E2"/>
    <w:rsid w:val="005A07F6"/>
    <w:rsid w:val="005A4AA0"/>
    <w:rsid w:val="005B3714"/>
    <w:rsid w:val="005B4C51"/>
    <w:rsid w:val="005B7D23"/>
    <w:rsid w:val="005C0788"/>
    <w:rsid w:val="005C1C34"/>
    <w:rsid w:val="005C1CEC"/>
    <w:rsid w:val="005C69C8"/>
    <w:rsid w:val="005C6EA6"/>
    <w:rsid w:val="005D0713"/>
    <w:rsid w:val="005D5200"/>
    <w:rsid w:val="005D69CC"/>
    <w:rsid w:val="005D6B50"/>
    <w:rsid w:val="005E14A1"/>
    <w:rsid w:val="005E5089"/>
    <w:rsid w:val="005F34A5"/>
    <w:rsid w:val="00601A8E"/>
    <w:rsid w:val="00602119"/>
    <w:rsid w:val="00604404"/>
    <w:rsid w:val="00605700"/>
    <w:rsid w:val="00611F37"/>
    <w:rsid w:val="006122E3"/>
    <w:rsid w:val="00625D21"/>
    <w:rsid w:val="0063052B"/>
    <w:rsid w:val="00630BC0"/>
    <w:rsid w:val="006320F1"/>
    <w:rsid w:val="00632FCB"/>
    <w:rsid w:val="00633F5F"/>
    <w:rsid w:val="00635266"/>
    <w:rsid w:val="0063538F"/>
    <w:rsid w:val="00645830"/>
    <w:rsid w:val="00646704"/>
    <w:rsid w:val="006477EA"/>
    <w:rsid w:val="006567E8"/>
    <w:rsid w:val="00661B54"/>
    <w:rsid w:val="00665182"/>
    <w:rsid w:val="00665594"/>
    <w:rsid w:val="0066605C"/>
    <w:rsid w:val="00666C6E"/>
    <w:rsid w:val="00667F5D"/>
    <w:rsid w:val="006826AF"/>
    <w:rsid w:val="0068372F"/>
    <w:rsid w:val="006855BF"/>
    <w:rsid w:val="00686ED8"/>
    <w:rsid w:val="00687BB6"/>
    <w:rsid w:val="00691558"/>
    <w:rsid w:val="00691DF9"/>
    <w:rsid w:val="0069710F"/>
    <w:rsid w:val="006B52F8"/>
    <w:rsid w:val="006B570A"/>
    <w:rsid w:val="006B6D63"/>
    <w:rsid w:val="006C2BD5"/>
    <w:rsid w:val="006C4312"/>
    <w:rsid w:val="006C4B0F"/>
    <w:rsid w:val="006C6568"/>
    <w:rsid w:val="006C7360"/>
    <w:rsid w:val="006D0D82"/>
    <w:rsid w:val="006D130E"/>
    <w:rsid w:val="006D612E"/>
    <w:rsid w:val="006E0D48"/>
    <w:rsid w:val="006E13A0"/>
    <w:rsid w:val="006E1901"/>
    <w:rsid w:val="006E1949"/>
    <w:rsid w:val="006E4EC3"/>
    <w:rsid w:val="006E54A0"/>
    <w:rsid w:val="006E5812"/>
    <w:rsid w:val="006F361C"/>
    <w:rsid w:val="006F6993"/>
    <w:rsid w:val="00702921"/>
    <w:rsid w:val="00704745"/>
    <w:rsid w:val="00704CF2"/>
    <w:rsid w:val="00714634"/>
    <w:rsid w:val="0071612D"/>
    <w:rsid w:val="007168E8"/>
    <w:rsid w:val="007268E1"/>
    <w:rsid w:val="00734C59"/>
    <w:rsid w:val="0073694D"/>
    <w:rsid w:val="00742A13"/>
    <w:rsid w:val="007439A8"/>
    <w:rsid w:val="00746286"/>
    <w:rsid w:val="00746720"/>
    <w:rsid w:val="007475A6"/>
    <w:rsid w:val="0074772F"/>
    <w:rsid w:val="0075011F"/>
    <w:rsid w:val="00750C31"/>
    <w:rsid w:val="00753710"/>
    <w:rsid w:val="007556F0"/>
    <w:rsid w:val="00756ECA"/>
    <w:rsid w:val="00762214"/>
    <w:rsid w:val="00764302"/>
    <w:rsid w:val="0076449C"/>
    <w:rsid w:val="00764E95"/>
    <w:rsid w:val="00771CB9"/>
    <w:rsid w:val="007751C7"/>
    <w:rsid w:val="00777519"/>
    <w:rsid w:val="00780937"/>
    <w:rsid w:val="00781029"/>
    <w:rsid w:val="00782CD9"/>
    <w:rsid w:val="00786EEC"/>
    <w:rsid w:val="00787036"/>
    <w:rsid w:val="0079128A"/>
    <w:rsid w:val="00792382"/>
    <w:rsid w:val="00796CBD"/>
    <w:rsid w:val="007A738F"/>
    <w:rsid w:val="007A76F1"/>
    <w:rsid w:val="007B23BA"/>
    <w:rsid w:val="007B6470"/>
    <w:rsid w:val="007C6151"/>
    <w:rsid w:val="007D1C7B"/>
    <w:rsid w:val="007D28D3"/>
    <w:rsid w:val="007D6510"/>
    <w:rsid w:val="007E2826"/>
    <w:rsid w:val="007E40E0"/>
    <w:rsid w:val="007E5354"/>
    <w:rsid w:val="007E5582"/>
    <w:rsid w:val="007E6C06"/>
    <w:rsid w:val="007E72A6"/>
    <w:rsid w:val="007F0320"/>
    <w:rsid w:val="007F1C3F"/>
    <w:rsid w:val="0080386A"/>
    <w:rsid w:val="00803D0D"/>
    <w:rsid w:val="008076EE"/>
    <w:rsid w:val="00810A9D"/>
    <w:rsid w:val="00814752"/>
    <w:rsid w:val="00822DE2"/>
    <w:rsid w:val="00826EDA"/>
    <w:rsid w:val="00830EF8"/>
    <w:rsid w:val="008310D4"/>
    <w:rsid w:val="00832BF0"/>
    <w:rsid w:val="008349B2"/>
    <w:rsid w:val="00834D23"/>
    <w:rsid w:val="00837607"/>
    <w:rsid w:val="00840701"/>
    <w:rsid w:val="00842519"/>
    <w:rsid w:val="00844CC7"/>
    <w:rsid w:val="00846BAC"/>
    <w:rsid w:val="00851E31"/>
    <w:rsid w:val="0085297E"/>
    <w:rsid w:val="008544EE"/>
    <w:rsid w:val="00854DA4"/>
    <w:rsid w:val="0085765C"/>
    <w:rsid w:val="00857BCA"/>
    <w:rsid w:val="00860F01"/>
    <w:rsid w:val="00862992"/>
    <w:rsid w:val="00863106"/>
    <w:rsid w:val="008649E0"/>
    <w:rsid w:val="00867C67"/>
    <w:rsid w:val="00870BE7"/>
    <w:rsid w:val="00874FB4"/>
    <w:rsid w:val="00890412"/>
    <w:rsid w:val="0089117B"/>
    <w:rsid w:val="00891889"/>
    <w:rsid w:val="008940CB"/>
    <w:rsid w:val="008947B2"/>
    <w:rsid w:val="00895551"/>
    <w:rsid w:val="00895796"/>
    <w:rsid w:val="00895BC7"/>
    <w:rsid w:val="008A6A8F"/>
    <w:rsid w:val="008A7291"/>
    <w:rsid w:val="008B1A09"/>
    <w:rsid w:val="008B27FD"/>
    <w:rsid w:val="008B602D"/>
    <w:rsid w:val="008B721A"/>
    <w:rsid w:val="008C12F6"/>
    <w:rsid w:val="008C183D"/>
    <w:rsid w:val="008C7B18"/>
    <w:rsid w:val="008C7B70"/>
    <w:rsid w:val="008D4672"/>
    <w:rsid w:val="008D5302"/>
    <w:rsid w:val="008D69D6"/>
    <w:rsid w:val="008D7C65"/>
    <w:rsid w:val="008E038B"/>
    <w:rsid w:val="008E417A"/>
    <w:rsid w:val="008E52A2"/>
    <w:rsid w:val="008E5737"/>
    <w:rsid w:val="008E58FA"/>
    <w:rsid w:val="008E738C"/>
    <w:rsid w:val="008F008A"/>
    <w:rsid w:val="008F195E"/>
    <w:rsid w:val="008F34B3"/>
    <w:rsid w:val="008F509E"/>
    <w:rsid w:val="008F75F2"/>
    <w:rsid w:val="00903A7B"/>
    <w:rsid w:val="00906F12"/>
    <w:rsid w:val="009102F7"/>
    <w:rsid w:val="00915B90"/>
    <w:rsid w:val="00923F80"/>
    <w:rsid w:val="00924098"/>
    <w:rsid w:val="00924360"/>
    <w:rsid w:val="00924C3F"/>
    <w:rsid w:val="00925C9D"/>
    <w:rsid w:val="009272ED"/>
    <w:rsid w:val="00931961"/>
    <w:rsid w:val="009320E3"/>
    <w:rsid w:val="00933C78"/>
    <w:rsid w:val="00933ED8"/>
    <w:rsid w:val="009340F6"/>
    <w:rsid w:val="00935043"/>
    <w:rsid w:val="00936CB4"/>
    <w:rsid w:val="00937414"/>
    <w:rsid w:val="0094417A"/>
    <w:rsid w:val="00944F48"/>
    <w:rsid w:val="009474EB"/>
    <w:rsid w:val="00950EEA"/>
    <w:rsid w:val="0095165C"/>
    <w:rsid w:val="00953301"/>
    <w:rsid w:val="009541B1"/>
    <w:rsid w:val="009541F0"/>
    <w:rsid w:val="009579FD"/>
    <w:rsid w:val="00962929"/>
    <w:rsid w:val="00963915"/>
    <w:rsid w:val="00963C84"/>
    <w:rsid w:val="009745D9"/>
    <w:rsid w:val="00974D54"/>
    <w:rsid w:val="00977A73"/>
    <w:rsid w:val="00981C00"/>
    <w:rsid w:val="0098244E"/>
    <w:rsid w:val="00982DEC"/>
    <w:rsid w:val="009839DC"/>
    <w:rsid w:val="00983CF9"/>
    <w:rsid w:val="00985CB1"/>
    <w:rsid w:val="00986C3A"/>
    <w:rsid w:val="00990C6C"/>
    <w:rsid w:val="009914C3"/>
    <w:rsid w:val="009974D6"/>
    <w:rsid w:val="009A23F8"/>
    <w:rsid w:val="009A6C6D"/>
    <w:rsid w:val="009A71DA"/>
    <w:rsid w:val="009A7A16"/>
    <w:rsid w:val="009B2A54"/>
    <w:rsid w:val="009B3673"/>
    <w:rsid w:val="009B49C2"/>
    <w:rsid w:val="009B4F16"/>
    <w:rsid w:val="009B6A66"/>
    <w:rsid w:val="009B7886"/>
    <w:rsid w:val="009C281B"/>
    <w:rsid w:val="009D06EB"/>
    <w:rsid w:val="009D1101"/>
    <w:rsid w:val="009D3F49"/>
    <w:rsid w:val="009D3F79"/>
    <w:rsid w:val="009E1FFA"/>
    <w:rsid w:val="009E611B"/>
    <w:rsid w:val="009F32CC"/>
    <w:rsid w:val="009F4EB3"/>
    <w:rsid w:val="009F7C4D"/>
    <w:rsid w:val="00A00901"/>
    <w:rsid w:val="00A0103D"/>
    <w:rsid w:val="00A01239"/>
    <w:rsid w:val="00A03AEC"/>
    <w:rsid w:val="00A0560C"/>
    <w:rsid w:val="00A05FAD"/>
    <w:rsid w:val="00A108B8"/>
    <w:rsid w:val="00A120D9"/>
    <w:rsid w:val="00A1571C"/>
    <w:rsid w:val="00A15C61"/>
    <w:rsid w:val="00A15CB9"/>
    <w:rsid w:val="00A17A8D"/>
    <w:rsid w:val="00A2035E"/>
    <w:rsid w:val="00A2244B"/>
    <w:rsid w:val="00A2316A"/>
    <w:rsid w:val="00A242B7"/>
    <w:rsid w:val="00A44AF9"/>
    <w:rsid w:val="00A46CE5"/>
    <w:rsid w:val="00A51081"/>
    <w:rsid w:val="00A51975"/>
    <w:rsid w:val="00A6565D"/>
    <w:rsid w:val="00A70FEC"/>
    <w:rsid w:val="00A74597"/>
    <w:rsid w:val="00A909E6"/>
    <w:rsid w:val="00A911B0"/>
    <w:rsid w:val="00A94C42"/>
    <w:rsid w:val="00A95AD9"/>
    <w:rsid w:val="00A964C3"/>
    <w:rsid w:val="00A97EA9"/>
    <w:rsid w:val="00AA3AE1"/>
    <w:rsid w:val="00AA677B"/>
    <w:rsid w:val="00AB0BE2"/>
    <w:rsid w:val="00AB176B"/>
    <w:rsid w:val="00AB26A2"/>
    <w:rsid w:val="00AB6A2F"/>
    <w:rsid w:val="00AB6AB8"/>
    <w:rsid w:val="00AB6B3C"/>
    <w:rsid w:val="00AB6DE1"/>
    <w:rsid w:val="00AC205B"/>
    <w:rsid w:val="00AC4165"/>
    <w:rsid w:val="00AC43F1"/>
    <w:rsid w:val="00AC5A8F"/>
    <w:rsid w:val="00AE268A"/>
    <w:rsid w:val="00AE55C1"/>
    <w:rsid w:val="00AE7C77"/>
    <w:rsid w:val="00AF1A12"/>
    <w:rsid w:val="00AF590E"/>
    <w:rsid w:val="00AF64E0"/>
    <w:rsid w:val="00AF7AF0"/>
    <w:rsid w:val="00B00270"/>
    <w:rsid w:val="00B003EC"/>
    <w:rsid w:val="00B00F7D"/>
    <w:rsid w:val="00B014FE"/>
    <w:rsid w:val="00B025C5"/>
    <w:rsid w:val="00B02856"/>
    <w:rsid w:val="00B04AB4"/>
    <w:rsid w:val="00B051D1"/>
    <w:rsid w:val="00B05202"/>
    <w:rsid w:val="00B05EA7"/>
    <w:rsid w:val="00B07189"/>
    <w:rsid w:val="00B07F05"/>
    <w:rsid w:val="00B117D4"/>
    <w:rsid w:val="00B15B3A"/>
    <w:rsid w:val="00B1614B"/>
    <w:rsid w:val="00B16A7B"/>
    <w:rsid w:val="00B17791"/>
    <w:rsid w:val="00B23024"/>
    <w:rsid w:val="00B249B4"/>
    <w:rsid w:val="00B2711F"/>
    <w:rsid w:val="00B36EE2"/>
    <w:rsid w:val="00B40DE3"/>
    <w:rsid w:val="00B41297"/>
    <w:rsid w:val="00B4196D"/>
    <w:rsid w:val="00B42B0D"/>
    <w:rsid w:val="00B42C29"/>
    <w:rsid w:val="00B42CA0"/>
    <w:rsid w:val="00B433A8"/>
    <w:rsid w:val="00B45E43"/>
    <w:rsid w:val="00B465A7"/>
    <w:rsid w:val="00B50751"/>
    <w:rsid w:val="00B509B7"/>
    <w:rsid w:val="00B52725"/>
    <w:rsid w:val="00B5356D"/>
    <w:rsid w:val="00B53DE7"/>
    <w:rsid w:val="00B56490"/>
    <w:rsid w:val="00B606E7"/>
    <w:rsid w:val="00B61395"/>
    <w:rsid w:val="00B72F1C"/>
    <w:rsid w:val="00B845FC"/>
    <w:rsid w:val="00B87534"/>
    <w:rsid w:val="00B87B26"/>
    <w:rsid w:val="00B87CDB"/>
    <w:rsid w:val="00B92B65"/>
    <w:rsid w:val="00B96585"/>
    <w:rsid w:val="00BA4A96"/>
    <w:rsid w:val="00BA5B9D"/>
    <w:rsid w:val="00BA66FC"/>
    <w:rsid w:val="00BB034A"/>
    <w:rsid w:val="00BB58F9"/>
    <w:rsid w:val="00BB6353"/>
    <w:rsid w:val="00BB6BB7"/>
    <w:rsid w:val="00BC1539"/>
    <w:rsid w:val="00BC1DB7"/>
    <w:rsid w:val="00BC428C"/>
    <w:rsid w:val="00BC5A86"/>
    <w:rsid w:val="00BD1D26"/>
    <w:rsid w:val="00BD4E03"/>
    <w:rsid w:val="00BD7082"/>
    <w:rsid w:val="00BE1C61"/>
    <w:rsid w:val="00BE3107"/>
    <w:rsid w:val="00BE367D"/>
    <w:rsid w:val="00BE5DDA"/>
    <w:rsid w:val="00BE686E"/>
    <w:rsid w:val="00BE782B"/>
    <w:rsid w:val="00BF156C"/>
    <w:rsid w:val="00C006A6"/>
    <w:rsid w:val="00C00B42"/>
    <w:rsid w:val="00C00BA1"/>
    <w:rsid w:val="00C02447"/>
    <w:rsid w:val="00C027F3"/>
    <w:rsid w:val="00C0354F"/>
    <w:rsid w:val="00C117B5"/>
    <w:rsid w:val="00C124FE"/>
    <w:rsid w:val="00C22946"/>
    <w:rsid w:val="00C25058"/>
    <w:rsid w:val="00C253BA"/>
    <w:rsid w:val="00C33E7A"/>
    <w:rsid w:val="00C33F57"/>
    <w:rsid w:val="00C34978"/>
    <w:rsid w:val="00C41677"/>
    <w:rsid w:val="00C43C43"/>
    <w:rsid w:val="00C45BA5"/>
    <w:rsid w:val="00C47657"/>
    <w:rsid w:val="00C47722"/>
    <w:rsid w:val="00C519F9"/>
    <w:rsid w:val="00C520FC"/>
    <w:rsid w:val="00C527D2"/>
    <w:rsid w:val="00C61370"/>
    <w:rsid w:val="00C63607"/>
    <w:rsid w:val="00C66CE3"/>
    <w:rsid w:val="00C72659"/>
    <w:rsid w:val="00C74925"/>
    <w:rsid w:val="00C76730"/>
    <w:rsid w:val="00C80CF8"/>
    <w:rsid w:val="00C81E6F"/>
    <w:rsid w:val="00C828AE"/>
    <w:rsid w:val="00C85337"/>
    <w:rsid w:val="00C913D7"/>
    <w:rsid w:val="00C9422D"/>
    <w:rsid w:val="00C97195"/>
    <w:rsid w:val="00CA0827"/>
    <w:rsid w:val="00CA16B6"/>
    <w:rsid w:val="00CA4B84"/>
    <w:rsid w:val="00CB5DDA"/>
    <w:rsid w:val="00CB5F1A"/>
    <w:rsid w:val="00CC4D29"/>
    <w:rsid w:val="00CC5D4C"/>
    <w:rsid w:val="00CC6DF5"/>
    <w:rsid w:val="00CD1AC0"/>
    <w:rsid w:val="00CD3CE8"/>
    <w:rsid w:val="00CD4E89"/>
    <w:rsid w:val="00CD518D"/>
    <w:rsid w:val="00CD6DEB"/>
    <w:rsid w:val="00CD7F42"/>
    <w:rsid w:val="00CD7F77"/>
    <w:rsid w:val="00CE01E9"/>
    <w:rsid w:val="00CE56AA"/>
    <w:rsid w:val="00CE7369"/>
    <w:rsid w:val="00CF34E9"/>
    <w:rsid w:val="00CF3A5A"/>
    <w:rsid w:val="00CF4EEC"/>
    <w:rsid w:val="00CF5102"/>
    <w:rsid w:val="00D05573"/>
    <w:rsid w:val="00D06DD5"/>
    <w:rsid w:val="00D105D1"/>
    <w:rsid w:val="00D157BF"/>
    <w:rsid w:val="00D16166"/>
    <w:rsid w:val="00D201D3"/>
    <w:rsid w:val="00D20E2B"/>
    <w:rsid w:val="00D21159"/>
    <w:rsid w:val="00D24FEA"/>
    <w:rsid w:val="00D33B4C"/>
    <w:rsid w:val="00D33FFD"/>
    <w:rsid w:val="00D36C41"/>
    <w:rsid w:val="00D43865"/>
    <w:rsid w:val="00D452FA"/>
    <w:rsid w:val="00D50BB6"/>
    <w:rsid w:val="00D50F50"/>
    <w:rsid w:val="00D51B99"/>
    <w:rsid w:val="00D55BA3"/>
    <w:rsid w:val="00D57EFE"/>
    <w:rsid w:val="00D63134"/>
    <w:rsid w:val="00D7118B"/>
    <w:rsid w:val="00D71573"/>
    <w:rsid w:val="00D720D4"/>
    <w:rsid w:val="00D7312C"/>
    <w:rsid w:val="00D800BF"/>
    <w:rsid w:val="00D8027A"/>
    <w:rsid w:val="00D80806"/>
    <w:rsid w:val="00D81789"/>
    <w:rsid w:val="00D82F52"/>
    <w:rsid w:val="00D843D0"/>
    <w:rsid w:val="00D86CB3"/>
    <w:rsid w:val="00D9228E"/>
    <w:rsid w:val="00D94EBF"/>
    <w:rsid w:val="00D96369"/>
    <w:rsid w:val="00DA13D1"/>
    <w:rsid w:val="00DA5E5B"/>
    <w:rsid w:val="00DA61B0"/>
    <w:rsid w:val="00DA763B"/>
    <w:rsid w:val="00DB5B1A"/>
    <w:rsid w:val="00DC36D8"/>
    <w:rsid w:val="00DC512B"/>
    <w:rsid w:val="00DC7296"/>
    <w:rsid w:val="00DD3A5C"/>
    <w:rsid w:val="00DD4C39"/>
    <w:rsid w:val="00DD510F"/>
    <w:rsid w:val="00DE04A0"/>
    <w:rsid w:val="00DE14D6"/>
    <w:rsid w:val="00DE1515"/>
    <w:rsid w:val="00DF29A9"/>
    <w:rsid w:val="00DF3F67"/>
    <w:rsid w:val="00DF604C"/>
    <w:rsid w:val="00E06A88"/>
    <w:rsid w:val="00E10427"/>
    <w:rsid w:val="00E11039"/>
    <w:rsid w:val="00E14819"/>
    <w:rsid w:val="00E21503"/>
    <w:rsid w:val="00E2155A"/>
    <w:rsid w:val="00E245A1"/>
    <w:rsid w:val="00E40996"/>
    <w:rsid w:val="00E53CCC"/>
    <w:rsid w:val="00E540A5"/>
    <w:rsid w:val="00E613CA"/>
    <w:rsid w:val="00E61660"/>
    <w:rsid w:val="00E64986"/>
    <w:rsid w:val="00E67621"/>
    <w:rsid w:val="00E73DF9"/>
    <w:rsid w:val="00E77442"/>
    <w:rsid w:val="00E81929"/>
    <w:rsid w:val="00E8356F"/>
    <w:rsid w:val="00E87B35"/>
    <w:rsid w:val="00E91A22"/>
    <w:rsid w:val="00E95587"/>
    <w:rsid w:val="00EA1E63"/>
    <w:rsid w:val="00EA5816"/>
    <w:rsid w:val="00EB0922"/>
    <w:rsid w:val="00EB3A6E"/>
    <w:rsid w:val="00EB67A8"/>
    <w:rsid w:val="00EC14FD"/>
    <w:rsid w:val="00EC3B3C"/>
    <w:rsid w:val="00EC70E8"/>
    <w:rsid w:val="00ED0BAB"/>
    <w:rsid w:val="00ED1188"/>
    <w:rsid w:val="00ED24E3"/>
    <w:rsid w:val="00ED2D81"/>
    <w:rsid w:val="00EE0275"/>
    <w:rsid w:val="00EE2C4F"/>
    <w:rsid w:val="00EE2EE5"/>
    <w:rsid w:val="00EE460C"/>
    <w:rsid w:val="00EE5D8C"/>
    <w:rsid w:val="00EE752E"/>
    <w:rsid w:val="00EF0C40"/>
    <w:rsid w:val="00EF494C"/>
    <w:rsid w:val="00EF6D30"/>
    <w:rsid w:val="00EF7C86"/>
    <w:rsid w:val="00F0337F"/>
    <w:rsid w:val="00F04895"/>
    <w:rsid w:val="00F048F9"/>
    <w:rsid w:val="00F06E15"/>
    <w:rsid w:val="00F071D8"/>
    <w:rsid w:val="00F16322"/>
    <w:rsid w:val="00F165FE"/>
    <w:rsid w:val="00F20B78"/>
    <w:rsid w:val="00F211B4"/>
    <w:rsid w:val="00F260EA"/>
    <w:rsid w:val="00F27183"/>
    <w:rsid w:val="00F27CA0"/>
    <w:rsid w:val="00F32F85"/>
    <w:rsid w:val="00F332D9"/>
    <w:rsid w:val="00F4036E"/>
    <w:rsid w:val="00F41C89"/>
    <w:rsid w:val="00F41CDB"/>
    <w:rsid w:val="00F50BAA"/>
    <w:rsid w:val="00F54606"/>
    <w:rsid w:val="00F54785"/>
    <w:rsid w:val="00F56089"/>
    <w:rsid w:val="00F60371"/>
    <w:rsid w:val="00F6283D"/>
    <w:rsid w:val="00F62DCD"/>
    <w:rsid w:val="00F66BE4"/>
    <w:rsid w:val="00F70570"/>
    <w:rsid w:val="00F706CF"/>
    <w:rsid w:val="00F72760"/>
    <w:rsid w:val="00F7366B"/>
    <w:rsid w:val="00F83F3C"/>
    <w:rsid w:val="00F87CCC"/>
    <w:rsid w:val="00F92EA5"/>
    <w:rsid w:val="00F94B10"/>
    <w:rsid w:val="00FA278B"/>
    <w:rsid w:val="00FA29E9"/>
    <w:rsid w:val="00FA3AE2"/>
    <w:rsid w:val="00FA5F81"/>
    <w:rsid w:val="00FA61FB"/>
    <w:rsid w:val="00FB378A"/>
    <w:rsid w:val="00FB535D"/>
    <w:rsid w:val="00FB5C1C"/>
    <w:rsid w:val="00FB652A"/>
    <w:rsid w:val="00FC0A39"/>
    <w:rsid w:val="00FC353D"/>
    <w:rsid w:val="00FC6163"/>
    <w:rsid w:val="00FC6FD2"/>
    <w:rsid w:val="00FD27D8"/>
    <w:rsid w:val="00FD2812"/>
    <w:rsid w:val="00FD3FCD"/>
    <w:rsid w:val="00FD4B75"/>
    <w:rsid w:val="00FE2E9B"/>
    <w:rsid w:val="00FE351C"/>
    <w:rsid w:val="00FE78BA"/>
    <w:rsid w:val="00FF05FC"/>
    <w:rsid w:val="00FF0BA0"/>
    <w:rsid w:val="00FF1246"/>
    <w:rsid w:val="00FF24D2"/>
    <w:rsid w:val="00FF3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5298CF4-40EF-4383-919E-4586916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7360"/>
    <w:pPr>
      <w:spacing w:after="160" w:line="259" w:lineRule="auto"/>
    </w:pPr>
    <w:rPr>
      <w:rFonts w:eastAsia="Times New Roman"/>
      <w:sz w:val="22"/>
      <w:szCs w:val="22"/>
      <w:lang w:eastAsia="en-US"/>
    </w:rPr>
  </w:style>
  <w:style w:type="paragraph" w:styleId="Nagwek1">
    <w:name w:val="heading 1"/>
    <w:basedOn w:val="Normalny"/>
    <w:next w:val="Normalny"/>
    <w:qFormat/>
    <w:locked/>
    <w:rsid w:val="00575BCF"/>
    <w:pPr>
      <w:keepNext/>
      <w:keepLines/>
      <w:numPr>
        <w:numId w:val="1"/>
      </w:numPr>
      <w:suppressAutoHyphens/>
      <w:spacing w:before="480" w:after="0" w:line="276" w:lineRule="auto"/>
      <w:outlineLvl w:val="0"/>
    </w:pPr>
    <w:rPr>
      <w:rFonts w:ascii="Cambria" w:eastAsia="Calibri" w:hAnsi="Cambria"/>
      <w:b/>
      <w:bCs/>
      <w:color w:val="365F91"/>
      <w:sz w:val="28"/>
      <w:szCs w:val="28"/>
      <w:lang w:eastAsia="ar-SA"/>
    </w:rPr>
  </w:style>
  <w:style w:type="paragraph" w:styleId="Nagwek2">
    <w:name w:val="heading 2"/>
    <w:basedOn w:val="Normalny"/>
    <w:next w:val="Normalny"/>
    <w:link w:val="Nagwek2Znak"/>
    <w:qFormat/>
    <w:locked/>
    <w:rsid w:val="00575BCF"/>
    <w:pPr>
      <w:keepNext/>
      <w:keepLines/>
      <w:numPr>
        <w:ilvl w:val="1"/>
        <w:numId w:val="1"/>
      </w:numPr>
      <w:suppressAutoHyphens/>
      <w:spacing w:before="200" w:after="0" w:line="276" w:lineRule="auto"/>
      <w:outlineLvl w:val="1"/>
    </w:pPr>
    <w:rPr>
      <w:rFonts w:ascii="Cambria" w:eastAsia="Calibri" w:hAnsi="Cambria"/>
      <w:b/>
      <w:bCs/>
      <w:color w:val="4F81BD"/>
      <w:sz w:val="26"/>
      <w:szCs w:val="26"/>
      <w:lang w:eastAsia="ar-SA"/>
    </w:rPr>
  </w:style>
  <w:style w:type="paragraph" w:styleId="Nagwek3">
    <w:name w:val="heading 3"/>
    <w:basedOn w:val="Normalny"/>
    <w:next w:val="Normalny"/>
    <w:qFormat/>
    <w:locked/>
    <w:rsid w:val="00575BCF"/>
    <w:pPr>
      <w:keepNext/>
      <w:keepLines/>
      <w:numPr>
        <w:ilvl w:val="2"/>
        <w:numId w:val="1"/>
      </w:numPr>
      <w:suppressAutoHyphens/>
      <w:spacing w:before="200" w:after="0" w:line="276" w:lineRule="auto"/>
      <w:outlineLvl w:val="2"/>
    </w:pPr>
    <w:rPr>
      <w:rFonts w:ascii="Cambria" w:eastAsia="Calibri" w:hAnsi="Cambria"/>
      <w:b/>
      <w:bCs/>
      <w:color w:val="4F81BD"/>
      <w:sz w:val="24"/>
      <w:szCs w:val="20"/>
      <w:lang w:eastAsia="ar-SA"/>
    </w:rPr>
  </w:style>
  <w:style w:type="paragraph" w:styleId="Nagwek4">
    <w:name w:val="heading 4"/>
    <w:basedOn w:val="Normalny"/>
    <w:next w:val="Normalny"/>
    <w:qFormat/>
    <w:locked/>
    <w:rsid w:val="00575BCF"/>
    <w:pPr>
      <w:keepNext/>
      <w:keepLines/>
      <w:numPr>
        <w:ilvl w:val="3"/>
        <w:numId w:val="1"/>
      </w:numPr>
      <w:suppressAutoHyphens/>
      <w:spacing w:before="200" w:after="0" w:line="276" w:lineRule="auto"/>
      <w:outlineLvl w:val="3"/>
    </w:pPr>
    <w:rPr>
      <w:rFonts w:ascii="Cambria" w:eastAsia="Calibri" w:hAnsi="Cambria"/>
      <w:b/>
      <w:bCs/>
      <w:i/>
      <w:iCs/>
      <w:color w:val="4F81BD"/>
      <w:sz w:val="24"/>
      <w:szCs w:val="20"/>
      <w:lang w:eastAsia="ar-SA"/>
    </w:rPr>
  </w:style>
  <w:style w:type="paragraph" w:styleId="Nagwek5">
    <w:name w:val="heading 5"/>
    <w:basedOn w:val="Normalny"/>
    <w:next w:val="Normalny"/>
    <w:qFormat/>
    <w:locked/>
    <w:rsid w:val="00575BCF"/>
    <w:pPr>
      <w:keepNext/>
      <w:keepLines/>
      <w:numPr>
        <w:ilvl w:val="4"/>
        <w:numId w:val="1"/>
      </w:numPr>
      <w:suppressAutoHyphens/>
      <w:spacing w:before="200" w:after="0" w:line="276" w:lineRule="auto"/>
      <w:outlineLvl w:val="4"/>
    </w:pPr>
    <w:rPr>
      <w:rFonts w:ascii="Cambria" w:eastAsia="Calibri" w:hAnsi="Cambria"/>
      <w:color w:val="243F60"/>
      <w:sz w:val="24"/>
      <w:szCs w:val="20"/>
      <w:lang w:eastAsia="ar-SA"/>
    </w:rPr>
  </w:style>
  <w:style w:type="paragraph" w:styleId="Nagwek6">
    <w:name w:val="heading 6"/>
    <w:basedOn w:val="Normalny"/>
    <w:next w:val="Normalny"/>
    <w:qFormat/>
    <w:locked/>
    <w:rsid w:val="00575BCF"/>
    <w:pPr>
      <w:keepNext/>
      <w:keepLines/>
      <w:numPr>
        <w:ilvl w:val="5"/>
        <w:numId w:val="1"/>
      </w:numPr>
      <w:suppressAutoHyphens/>
      <w:spacing w:before="200" w:after="0" w:line="276" w:lineRule="auto"/>
      <w:outlineLvl w:val="5"/>
    </w:pPr>
    <w:rPr>
      <w:rFonts w:ascii="Cambria" w:eastAsia="Calibri" w:hAnsi="Cambria"/>
      <w:i/>
      <w:iCs/>
      <w:color w:val="243F60"/>
      <w:sz w:val="24"/>
      <w:szCs w:val="20"/>
      <w:lang w:eastAsia="ar-SA"/>
    </w:rPr>
  </w:style>
  <w:style w:type="paragraph" w:styleId="Nagwek7">
    <w:name w:val="heading 7"/>
    <w:basedOn w:val="Normalny"/>
    <w:next w:val="Normalny"/>
    <w:qFormat/>
    <w:locked/>
    <w:rsid w:val="00575BCF"/>
    <w:pPr>
      <w:keepNext/>
      <w:keepLines/>
      <w:numPr>
        <w:ilvl w:val="6"/>
        <w:numId w:val="1"/>
      </w:numPr>
      <w:suppressAutoHyphens/>
      <w:spacing w:before="200" w:after="0" w:line="276" w:lineRule="auto"/>
      <w:outlineLvl w:val="6"/>
    </w:pPr>
    <w:rPr>
      <w:rFonts w:ascii="Cambria" w:eastAsia="Calibri" w:hAnsi="Cambria"/>
      <w:i/>
      <w:iCs/>
      <w:color w:val="404040"/>
      <w:sz w:val="24"/>
      <w:szCs w:val="20"/>
      <w:lang w:eastAsia="ar-SA"/>
    </w:rPr>
  </w:style>
  <w:style w:type="paragraph" w:styleId="Nagwek8">
    <w:name w:val="heading 8"/>
    <w:basedOn w:val="Normalny"/>
    <w:next w:val="Normalny"/>
    <w:qFormat/>
    <w:locked/>
    <w:rsid w:val="00575BCF"/>
    <w:pPr>
      <w:keepNext/>
      <w:keepLines/>
      <w:numPr>
        <w:ilvl w:val="7"/>
        <w:numId w:val="1"/>
      </w:numPr>
      <w:suppressAutoHyphens/>
      <w:spacing w:before="200" w:after="0" w:line="276" w:lineRule="auto"/>
      <w:outlineLvl w:val="7"/>
    </w:pPr>
    <w:rPr>
      <w:rFonts w:ascii="Cambria" w:eastAsia="Calibri" w:hAnsi="Cambria"/>
      <w:color w:val="404040"/>
      <w:sz w:val="20"/>
      <w:szCs w:val="20"/>
      <w:lang w:eastAsia="ar-SA"/>
    </w:rPr>
  </w:style>
  <w:style w:type="paragraph" w:styleId="Nagwek9">
    <w:name w:val="heading 9"/>
    <w:basedOn w:val="Normalny"/>
    <w:next w:val="Normalny"/>
    <w:qFormat/>
    <w:locked/>
    <w:rsid w:val="00575BCF"/>
    <w:pPr>
      <w:keepNext/>
      <w:keepLines/>
      <w:numPr>
        <w:ilvl w:val="8"/>
        <w:numId w:val="1"/>
      </w:numPr>
      <w:suppressAutoHyphens/>
      <w:spacing w:before="200" w:after="0" w:line="276" w:lineRule="auto"/>
      <w:outlineLvl w:val="8"/>
    </w:pPr>
    <w:rPr>
      <w:rFonts w:ascii="Cambria" w:eastAsia="Calibri" w:hAnsi="Cambria"/>
      <w:i/>
      <w:iCs/>
      <w:color w:val="40404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rsid w:val="006C7360"/>
    <w:pPr>
      <w:spacing w:after="200" w:line="276" w:lineRule="auto"/>
      <w:ind w:left="720"/>
    </w:pPr>
    <w:rPr>
      <w:rFonts w:eastAsia="Calibri"/>
      <w:sz w:val="20"/>
      <w:szCs w:val="20"/>
      <w:lang w:eastAsia="pl-PL"/>
    </w:rPr>
  </w:style>
  <w:style w:type="table" w:styleId="Tabela-Siatka">
    <w:name w:val="Table Grid"/>
    <w:basedOn w:val="Standardowy"/>
    <w:rsid w:val="006C7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semiHidden/>
    <w:rsid w:val="006C7360"/>
    <w:pPr>
      <w:spacing w:after="0" w:line="240" w:lineRule="auto"/>
    </w:pPr>
    <w:rPr>
      <w:rFonts w:ascii="Tahoma" w:eastAsia="Calibri" w:hAnsi="Tahoma"/>
      <w:sz w:val="16"/>
      <w:szCs w:val="16"/>
    </w:rPr>
  </w:style>
  <w:style w:type="character" w:customStyle="1" w:styleId="TekstdymkaZnak">
    <w:name w:val="Tekst dymka Znak"/>
    <w:link w:val="Tekstdymka"/>
    <w:semiHidden/>
    <w:locked/>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link w:val="Nagwek"/>
    <w:uiPriority w:val="99"/>
    <w:locked/>
    <w:rsid w:val="00632FCB"/>
    <w:rPr>
      <w:rFonts w:ascii="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32FCB"/>
    <w:rPr>
      <w:rFonts w:ascii="Times New Roman" w:hAnsi="Times New Roman" w:cs="Times New Roman"/>
      <w:sz w:val="20"/>
      <w:szCs w:val="20"/>
      <w:lang w:eastAsia="pl-PL"/>
    </w:rPr>
  </w:style>
  <w:style w:type="character" w:styleId="Hipercze">
    <w:name w:val="Hyperlink"/>
    <w:rsid w:val="00632FCB"/>
    <w:rPr>
      <w:rFonts w:cs="Times New Roman"/>
      <w:color w:val="0000FF"/>
      <w:u w:val="single"/>
    </w:rPr>
  </w:style>
  <w:style w:type="paragraph" w:styleId="Tekstpodstawowy">
    <w:name w:val="Body Text"/>
    <w:basedOn w:val="Normalny"/>
    <w:link w:val="TekstpodstawowyZnak"/>
    <w:rsid w:val="00632FCB"/>
    <w:pPr>
      <w:spacing w:after="120" w:line="240" w:lineRule="auto"/>
    </w:pPr>
    <w:rPr>
      <w:rFonts w:ascii="Times New Roman" w:eastAsia="Calibri" w:hAnsi="Times New Roman"/>
      <w:sz w:val="24"/>
      <w:szCs w:val="24"/>
      <w:lang w:eastAsia="pl-PL"/>
    </w:rPr>
  </w:style>
  <w:style w:type="character" w:customStyle="1" w:styleId="TekstpodstawowyZnak">
    <w:name w:val="Tekst podstawowy Znak"/>
    <w:link w:val="Tekstpodstawowy"/>
    <w:locked/>
    <w:rsid w:val="00632FCB"/>
    <w:rPr>
      <w:rFonts w:ascii="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Calibri" w:hAnsi="Times New Roman"/>
      <w:sz w:val="24"/>
      <w:szCs w:val="24"/>
      <w:lang w:eastAsia="pl-PL"/>
    </w:rPr>
  </w:style>
  <w:style w:type="character" w:customStyle="1" w:styleId="Tekstpodstawowy2Znak">
    <w:name w:val="Tekst podstawowy 2 Znak"/>
    <w:link w:val="Tekstpodstawowy2"/>
    <w:locked/>
    <w:rsid w:val="00632FCB"/>
    <w:rPr>
      <w:rFonts w:ascii="Times New Roman" w:hAnsi="Times New Roman" w:cs="Times New Roman"/>
      <w:sz w:val="24"/>
      <w:szCs w:val="24"/>
      <w:lang w:eastAsia="pl-PL"/>
    </w:rPr>
  </w:style>
  <w:style w:type="paragraph" w:customStyle="1" w:styleId="Default">
    <w:name w:val="Default"/>
    <w:rsid w:val="00632FCB"/>
    <w:pPr>
      <w:autoSpaceDE w:val="0"/>
      <w:autoSpaceDN w:val="0"/>
      <w:adjustRightInd w:val="0"/>
    </w:pPr>
    <w:rPr>
      <w:rFonts w:ascii="Times New Roman" w:hAnsi="Times New Roman"/>
      <w:color w:val="000000"/>
      <w:sz w:val="24"/>
      <w:szCs w:val="24"/>
    </w:rPr>
  </w:style>
  <w:style w:type="paragraph" w:customStyle="1" w:styleId="Tekstpodstawowy21">
    <w:name w:val="Tekst podstawowy 21"/>
    <w:basedOn w:val="Normalny"/>
    <w:rsid w:val="00632FCB"/>
    <w:pPr>
      <w:widowControl w:val="0"/>
      <w:suppressAutoHyphens/>
      <w:spacing w:after="0" w:line="360" w:lineRule="auto"/>
      <w:jc w:val="both"/>
    </w:pPr>
    <w:rPr>
      <w:rFonts w:ascii="Arial" w:hAnsi="Arial" w:cs="Arial"/>
      <w:szCs w:val="24"/>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
    <w:semiHidden/>
    <w:rsid w:val="00CF3A5A"/>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aliases w:val="Podrozdział Znak1,Podrozdzia3 Znak1,-E Fuﬂnotentext Znak1,Fuﬂnotentext Ursprung Znak1,Fußnotentext Ursprung Znak1,-E Fußnotentext Znak1,Fußnote Znak1,Footnote text Znak1,Tekst przypisu Znak Znak Znak Znak Znak2"/>
    <w:link w:val="Tekstprzypisudolnego"/>
    <w:locked/>
    <w:rsid w:val="00CF3A5A"/>
    <w:rPr>
      <w:rFonts w:ascii="Times New Roman" w:hAnsi="Times New Roman" w:cs="Times New Roman"/>
      <w:sz w:val="20"/>
      <w:szCs w:val="20"/>
      <w:lang w:eastAsia="pl-PL"/>
    </w:rPr>
  </w:style>
  <w:style w:type="character" w:styleId="Odwoanieprzypisudolnego">
    <w:name w:val="footnote reference"/>
    <w:aliases w:val="Footnote Reference Number"/>
    <w:uiPriority w:val="99"/>
    <w:rsid w:val="00CF3A5A"/>
    <w:rPr>
      <w:rFonts w:cs="Times New Roman"/>
      <w:vertAlign w:val="superscript"/>
    </w:rPr>
  </w:style>
  <w:style w:type="paragraph" w:styleId="Tekstprzypisukocowego">
    <w:name w:val="endnote text"/>
    <w:basedOn w:val="Normalny"/>
    <w:link w:val="TekstprzypisukocowegoZnak"/>
    <w:uiPriority w:val="99"/>
    <w:semiHidden/>
    <w:rsid w:val="00C47657"/>
    <w:pPr>
      <w:spacing w:after="0" w:line="240" w:lineRule="auto"/>
    </w:pPr>
    <w:rPr>
      <w:rFonts w:eastAsia="Calibri"/>
      <w:sz w:val="20"/>
      <w:szCs w:val="20"/>
    </w:rPr>
  </w:style>
  <w:style w:type="character" w:customStyle="1" w:styleId="TekstprzypisukocowegoZnak">
    <w:name w:val="Tekst przypisu końcowego Znak"/>
    <w:link w:val="Tekstprzypisukocowego"/>
    <w:uiPriority w:val="99"/>
    <w:semiHidden/>
    <w:locked/>
    <w:rsid w:val="00C47657"/>
    <w:rPr>
      <w:rFonts w:cs="Times New Roman"/>
      <w:sz w:val="20"/>
      <w:szCs w:val="20"/>
    </w:rPr>
  </w:style>
  <w:style w:type="character" w:styleId="Odwoanieprzypisukocowego">
    <w:name w:val="endnote reference"/>
    <w:uiPriority w:val="99"/>
    <w:semiHidden/>
    <w:rsid w:val="00C47657"/>
    <w:rPr>
      <w:rFonts w:cs="Times New Roman"/>
      <w:vertAlign w:val="superscript"/>
    </w:rPr>
  </w:style>
  <w:style w:type="paragraph" w:styleId="Tekstpodstawowywcity">
    <w:name w:val="Body Text Indent"/>
    <w:basedOn w:val="Normalny"/>
    <w:link w:val="TekstpodstawowywcityZnak"/>
    <w:semiHidden/>
    <w:rsid w:val="00860F01"/>
    <w:pPr>
      <w:spacing w:after="120"/>
      <w:ind w:left="283"/>
    </w:pPr>
    <w:rPr>
      <w:rFonts w:eastAsia="Calibri"/>
      <w:sz w:val="20"/>
      <w:szCs w:val="20"/>
    </w:rPr>
  </w:style>
  <w:style w:type="character" w:customStyle="1" w:styleId="TekstpodstawowywcityZnak">
    <w:name w:val="Tekst podstawowy wcięty Znak"/>
    <w:link w:val="Tekstpodstawowywcity"/>
    <w:semiHidden/>
    <w:locked/>
    <w:rsid w:val="00860F01"/>
    <w:rPr>
      <w:rFonts w:cs="Times New Roman"/>
    </w:rPr>
  </w:style>
  <w:style w:type="character" w:styleId="Uwydatnienie">
    <w:name w:val="Emphasis"/>
    <w:qFormat/>
    <w:rsid w:val="001E63EA"/>
    <w:rPr>
      <w:rFonts w:cs="Times New Roman"/>
      <w:i/>
      <w:iCs/>
    </w:rPr>
  </w:style>
  <w:style w:type="paragraph" w:styleId="NormalnyWeb">
    <w:name w:val="Normal (Web)"/>
    <w:basedOn w:val="Normalny"/>
    <w:uiPriority w:val="99"/>
    <w:rsid w:val="001E63EA"/>
    <w:pPr>
      <w:spacing w:after="100" w:afterAutospacing="1" w:line="372" w:lineRule="auto"/>
    </w:pPr>
    <w:rPr>
      <w:rFonts w:ascii="Times New Roman" w:eastAsia="Calibri" w:hAnsi="Times New Roman"/>
      <w:sz w:val="24"/>
      <w:szCs w:val="24"/>
      <w:lang w:eastAsia="pl-PL"/>
    </w:rPr>
  </w:style>
  <w:style w:type="paragraph" w:customStyle="1" w:styleId="CM1">
    <w:name w:val="CM1"/>
    <w:basedOn w:val="Default"/>
    <w:next w:val="Default"/>
    <w:rsid w:val="001E63EA"/>
    <w:rPr>
      <w:rFonts w:ascii="EUAlbertina" w:eastAsia="Times New Roman" w:hAnsi="EUAlbertina"/>
      <w:color w:val="auto"/>
      <w:lang w:eastAsia="en-US"/>
    </w:rPr>
  </w:style>
  <w:style w:type="paragraph" w:customStyle="1" w:styleId="CM3">
    <w:name w:val="CM3"/>
    <w:basedOn w:val="Default"/>
    <w:next w:val="Default"/>
    <w:rsid w:val="001E63EA"/>
    <w:rPr>
      <w:rFonts w:ascii="EUAlbertina" w:eastAsia="Times New Roman" w:hAnsi="EUAlbertina"/>
      <w:color w:val="auto"/>
      <w:lang w:eastAsia="en-US"/>
    </w:rPr>
  </w:style>
  <w:style w:type="paragraph" w:customStyle="1" w:styleId="CM4">
    <w:name w:val="CM4"/>
    <w:basedOn w:val="Default"/>
    <w:next w:val="Default"/>
    <w:rsid w:val="00235FB0"/>
    <w:rPr>
      <w:rFonts w:ascii="EUAlbertina" w:eastAsia="Times New Roman" w:hAnsi="EUAlbertina"/>
      <w:color w:val="auto"/>
      <w:lang w:eastAsia="en-US"/>
    </w:rPr>
  </w:style>
  <w:style w:type="character" w:styleId="Pogrubienie">
    <w:name w:val="Strong"/>
    <w:qFormat/>
    <w:rsid w:val="00D96369"/>
    <w:rPr>
      <w:rFonts w:cs="Times New Roman"/>
      <w:b/>
      <w:bCs/>
    </w:rPr>
  </w:style>
  <w:style w:type="character" w:styleId="HTML-cytat">
    <w:name w:val="HTML Cite"/>
    <w:semiHidden/>
    <w:rsid w:val="005A4AA0"/>
    <w:rPr>
      <w:rFonts w:cs="Times New Roman"/>
      <w:i/>
      <w:iCs/>
    </w:rPr>
  </w:style>
  <w:style w:type="character" w:customStyle="1" w:styleId="Teksttreci2">
    <w:name w:val="Tekst treści (2)_"/>
    <w:link w:val="Teksttreci20"/>
    <w:locked/>
    <w:rsid w:val="00895796"/>
    <w:rPr>
      <w:rFonts w:ascii="Times New Roman" w:hAnsi="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240" w:lineRule="atLeast"/>
      <w:ind w:hanging="620"/>
      <w:jc w:val="center"/>
    </w:pPr>
    <w:rPr>
      <w:rFonts w:ascii="Times New Roman" w:eastAsia="Calibri" w:hAnsi="Times New Roman"/>
      <w:sz w:val="20"/>
      <w:szCs w:val="20"/>
    </w:rPr>
  </w:style>
  <w:style w:type="character" w:customStyle="1" w:styleId="ListParagraphChar">
    <w:name w:val="List Paragraph Char"/>
    <w:link w:val="Akapitzlist1"/>
    <w:locked/>
    <w:rsid w:val="00895796"/>
    <w:rPr>
      <w:rFonts w:ascii="Calibri" w:hAnsi="Calibri"/>
      <w:lang w:eastAsia="pl-PL"/>
    </w:rPr>
  </w:style>
  <w:style w:type="table" w:customStyle="1" w:styleId="Tabela-Siatka1">
    <w:name w:val="Tabela - Siatka1"/>
    <w:rsid w:val="000D4C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EE752E"/>
    <w:rPr>
      <w:rFonts w:cs="Times New Roman"/>
      <w:sz w:val="16"/>
      <w:szCs w:val="16"/>
    </w:rPr>
  </w:style>
  <w:style w:type="paragraph" w:styleId="Tekstkomentarza">
    <w:name w:val="annotation text"/>
    <w:basedOn w:val="Normalny"/>
    <w:link w:val="TekstkomentarzaZnak"/>
    <w:semiHidden/>
    <w:rsid w:val="00EE752E"/>
    <w:pPr>
      <w:spacing w:line="240" w:lineRule="auto"/>
    </w:pPr>
    <w:rPr>
      <w:rFonts w:eastAsia="Calibri"/>
      <w:sz w:val="20"/>
      <w:szCs w:val="20"/>
    </w:rPr>
  </w:style>
  <w:style w:type="character" w:customStyle="1" w:styleId="TekstkomentarzaZnak">
    <w:name w:val="Tekst komentarza Znak"/>
    <w:link w:val="Tekstkomentarza"/>
    <w:semiHidden/>
    <w:locked/>
    <w:rsid w:val="00EE752E"/>
    <w:rPr>
      <w:rFonts w:cs="Times New Roman"/>
      <w:sz w:val="20"/>
      <w:szCs w:val="20"/>
    </w:rPr>
  </w:style>
  <w:style w:type="paragraph" w:styleId="Tematkomentarza">
    <w:name w:val="annotation subject"/>
    <w:basedOn w:val="Tekstkomentarza"/>
    <w:next w:val="Tekstkomentarza"/>
    <w:link w:val="TematkomentarzaZnak"/>
    <w:semiHidden/>
    <w:rsid w:val="00EE752E"/>
    <w:rPr>
      <w:b/>
      <w:bCs/>
    </w:rPr>
  </w:style>
  <w:style w:type="character" w:customStyle="1" w:styleId="TematkomentarzaZnak">
    <w:name w:val="Temat komentarza Znak"/>
    <w:link w:val="Tematkomentarza"/>
    <w:semiHidden/>
    <w:locked/>
    <w:rsid w:val="00EE752E"/>
    <w:rPr>
      <w:rFonts w:cs="Times New Roman"/>
      <w:b/>
      <w:bCs/>
      <w:sz w:val="20"/>
      <w:szCs w:val="20"/>
    </w:rPr>
  </w:style>
  <w:style w:type="character" w:customStyle="1" w:styleId="Nagwek2Znak">
    <w:name w:val="Nagłówek 2 Znak"/>
    <w:link w:val="Nagwek2"/>
    <w:locked/>
    <w:rsid w:val="00575BCF"/>
    <w:rPr>
      <w:rFonts w:ascii="Cambria" w:eastAsia="Calibri" w:hAnsi="Cambria"/>
      <w:b/>
      <w:bCs/>
      <w:color w:val="4F81BD"/>
      <w:sz w:val="26"/>
      <w:szCs w:val="26"/>
      <w:lang w:val="pl-PL" w:eastAsia="ar-SA" w:bidi="ar-SA"/>
    </w:rPr>
  </w:style>
  <w:style w:type="character" w:customStyle="1" w:styleId="PodrozdziaZnak">
    <w:name w:val="Podrozdział Znak"/>
    <w:aliases w:val="Podrozdzia3 Znak,-E Fuﬂnotentext Znak,Fuﬂnotentext Ursprung Znak,Fußnotentext Ursprung Znak,-E Fußnotentext Znak,Fußnote Znak,Footnote text Znak,Tekst przypisu Znak Znak Znak Znak Znak1,Tekst przypisu Znak Znak Znak Znak Znak Znak Znak"/>
    <w:locked/>
    <w:rsid w:val="008F195E"/>
    <w:rPr>
      <w:rFonts w:ascii="Times New Roman" w:hAnsi="Times New Roman"/>
      <w:kern w:val="3"/>
      <w:sz w:val="20"/>
      <w:lang w:eastAsia="pl-PL"/>
    </w:rPr>
  </w:style>
  <w:style w:type="paragraph" w:styleId="Akapitzlist">
    <w:name w:val="List Paragraph"/>
    <w:basedOn w:val="Normalny"/>
    <w:uiPriority w:val="34"/>
    <w:qFormat/>
    <w:rsid w:val="0000656D"/>
    <w:pPr>
      <w:ind w:left="720"/>
      <w:contextualSpacing/>
    </w:pPr>
    <w:rPr>
      <w:rFonts w:eastAsia="Calibri"/>
    </w:rPr>
  </w:style>
  <w:style w:type="character" w:styleId="Numerstrony">
    <w:name w:val="page number"/>
    <w:rsid w:val="003255D2"/>
  </w:style>
  <w:style w:type="paragraph" w:customStyle="1" w:styleId="Stopkadfr">
    <w:name w:val="Stopka dfr"/>
    <w:link w:val="StopkadfrZnak"/>
    <w:qFormat/>
    <w:rsid w:val="003255D2"/>
    <w:rPr>
      <w:color w:val="1D1D1D"/>
      <w:sz w:val="16"/>
      <w:szCs w:val="16"/>
      <w:lang w:eastAsia="en-US"/>
    </w:rPr>
  </w:style>
  <w:style w:type="character" w:customStyle="1" w:styleId="StopkadfrZnak">
    <w:name w:val="Stopka dfr Znak"/>
    <w:link w:val="Stopkadfr"/>
    <w:rsid w:val="003255D2"/>
    <w:rPr>
      <w:color w:val="1D1D1D"/>
      <w:sz w:val="16"/>
      <w:szCs w:val="16"/>
      <w:lang w:eastAsia="en-US" w:bidi="ar-SA"/>
    </w:rPr>
  </w:style>
  <w:style w:type="character" w:customStyle="1" w:styleId="apple-converted-space">
    <w:name w:val="apple-converted-space"/>
    <w:basedOn w:val="Domylnaczcionkaakapitu"/>
    <w:rsid w:val="005802AC"/>
  </w:style>
  <w:style w:type="paragraph" w:customStyle="1" w:styleId="Tekst">
    <w:name w:val="__Tekst"/>
    <w:basedOn w:val="Normalny"/>
    <w:uiPriority w:val="99"/>
    <w:rsid w:val="002C303D"/>
    <w:pPr>
      <w:autoSpaceDE w:val="0"/>
      <w:autoSpaceDN w:val="0"/>
      <w:adjustRightInd w:val="0"/>
      <w:spacing w:before="60" w:after="60" w:line="240" w:lineRule="auto"/>
      <w:jc w:val="both"/>
    </w:pPr>
    <w:rPr>
      <w:color w:val="000000"/>
      <w:sz w:val="21"/>
      <w:szCs w:val="24"/>
      <w:lang w:eastAsia="pl-PL"/>
    </w:rPr>
  </w:style>
  <w:style w:type="character" w:styleId="UyteHipercze">
    <w:name w:val="FollowedHyperlink"/>
    <w:rsid w:val="002A330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5">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6">
                              <w:marLeft w:val="-225"/>
                              <w:marRight w:val="-225"/>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4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6">
                      <w:marLeft w:val="-225"/>
                      <w:marRight w:val="-225"/>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2">
                  <w:marLeft w:val="-225"/>
                  <w:marRight w:val="-225"/>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1">
                              <w:marLeft w:val="-225"/>
                              <w:marRight w:val="-225"/>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8">
                  <w:marLeft w:val="-225"/>
                  <w:marRight w:val="-225"/>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0">
                              <w:marLeft w:val="-225"/>
                              <w:marRight w:val="-225"/>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525"/>
          <w:marBottom w:val="0"/>
          <w:divBdr>
            <w:top w:val="none" w:sz="0" w:space="0" w:color="auto"/>
            <w:left w:val="none" w:sz="0" w:space="0" w:color="auto"/>
            <w:bottom w:val="none" w:sz="0" w:space="0" w:color="auto"/>
            <w:right w:val="none" w:sz="0" w:space="0" w:color="auto"/>
          </w:divBdr>
          <w:divsChild>
            <w:div w:id="24">
              <w:marLeft w:val="0"/>
              <w:marRight w:val="0"/>
              <w:marTop w:val="225"/>
              <w:marBottom w:val="0"/>
              <w:divBdr>
                <w:top w:val="single" w:sz="2" w:space="0" w:color="000000"/>
                <w:left w:val="single" w:sz="2" w:space="0" w:color="000000"/>
                <w:bottom w:val="single" w:sz="2" w:space="0" w:color="000000"/>
                <w:right w:val="single" w:sz="2" w:space="0" w:color="000000"/>
              </w:divBdr>
              <w:divsChild>
                <w:div w:id="39">
                  <w:marLeft w:val="0"/>
                  <w:marRight w:val="0"/>
                  <w:marTop w:val="0"/>
                  <w:marBottom w:val="0"/>
                  <w:divBdr>
                    <w:top w:val="single" w:sz="2" w:space="0" w:color="auto"/>
                    <w:left w:val="single" w:sz="2" w:space="0" w:color="auto"/>
                    <w:bottom w:val="single" w:sz="2" w:space="0" w:color="auto"/>
                    <w:right w:val="single" w:sz="2" w:space="0" w:color="auto"/>
                  </w:divBdr>
                  <w:divsChild>
                    <w:div w:id="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22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81563">
      <w:bodyDiv w:val="1"/>
      <w:marLeft w:val="0"/>
      <w:marRight w:val="0"/>
      <w:marTop w:val="0"/>
      <w:marBottom w:val="0"/>
      <w:divBdr>
        <w:top w:val="none" w:sz="0" w:space="0" w:color="auto"/>
        <w:left w:val="none" w:sz="0" w:space="0" w:color="auto"/>
        <w:bottom w:val="none" w:sz="0" w:space="0" w:color="auto"/>
        <w:right w:val="none" w:sz="0" w:space="0" w:color="auto"/>
      </w:divBdr>
      <w:divsChild>
        <w:div w:id="504710136">
          <w:marLeft w:val="0"/>
          <w:marRight w:val="0"/>
          <w:marTop w:val="0"/>
          <w:marBottom w:val="0"/>
          <w:divBdr>
            <w:top w:val="none" w:sz="0" w:space="0" w:color="auto"/>
            <w:left w:val="none" w:sz="0" w:space="0" w:color="auto"/>
            <w:bottom w:val="none" w:sz="0" w:space="0" w:color="auto"/>
            <w:right w:val="none" w:sz="0" w:space="0" w:color="auto"/>
          </w:divBdr>
        </w:div>
      </w:divsChild>
    </w:div>
    <w:div w:id="909193018">
      <w:bodyDiv w:val="1"/>
      <w:marLeft w:val="0"/>
      <w:marRight w:val="0"/>
      <w:marTop w:val="0"/>
      <w:marBottom w:val="0"/>
      <w:divBdr>
        <w:top w:val="none" w:sz="0" w:space="0" w:color="auto"/>
        <w:left w:val="none" w:sz="0" w:space="0" w:color="auto"/>
        <w:bottom w:val="none" w:sz="0" w:space="0" w:color="auto"/>
        <w:right w:val="none" w:sz="0" w:space="0" w:color="auto"/>
      </w:divBdr>
      <w:divsChild>
        <w:div w:id="156409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walifikator.een.org.pl/" TargetMode="External"/><Relationship Id="rId4" Type="http://schemas.openxmlformats.org/officeDocument/2006/relationships/settings" Target="settings.xml"/><Relationship Id="rId9" Type="http://schemas.openxmlformats.org/officeDocument/2006/relationships/hyperlink" Target="http://ec.europa.eu/DocsRoom/documents/15582/attachments/1/translations/pl/rendition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6C851-2D40-4217-AA44-EC3EFFE0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2709</Words>
  <Characters>16256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18928</CharactersWithSpaces>
  <SharedDoc>false</SharedDoc>
  <HLinks>
    <vt:vector size="12" baseType="variant">
      <vt:variant>
        <vt:i4>7995498</vt:i4>
      </vt:variant>
      <vt:variant>
        <vt:i4>3</vt:i4>
      </vt:variant>
      <vt:variant>
        <vt:i4>0</vt:i4>
      </vt:variant>
      <vt:variant>
        <vt:i4>5</vt:i4>
      </vt:variant>
      <vt:variant>
        <vt:lpwstr>http://kwalifikator.een.org.pl/</vt:lpwstr>
      </vt:variant>
      <vt:variant>
        <vt:lpwstr/>
      </vt:variant>
      <vt:variant>
        <vt:i4>4390999</vt:i4>
      </vt:variant>
      <vt:variant>
        <vt:i4>0</vt:i4>
      </vt:variant>
      <vt:variant>
        <vt:i4>0</vt:i4>
      </vt:variant>
      <vt:variant>
        <vt:i4>5</vt:i4>
      </vt:variant>
      <vt:variant>
        <vt:lpwstr>http://ec.europa.eu/DocsRoom/documents/15582/attachments/1/translations/pl/renditions/pdf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 S.A. Małgorzata Szałek</dc:creator>
  <cp:lastModifiedBy>Maciej Szecówka</cp:lastModifiedBy>
  <cp:revision>15</cp:revision>
  <cp:lastPrinted>2017-05-09T07:28:00Z</cp:lastPrinted>
  <dcterms:created xsi:type="dcterms:W3CDTF">2020-02-04T07:51:00Z</dcterms:created>
  <dcterms:modified xsi:type="dcterms:W3CDTF">2020-06-03T11:48:00Z</dcterms:modified>
</cp:coreProperties>
</file>